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D37F" w14:textId="0F68D576" w:rsidR="006937C6" w:rsidRDefault="00AF19A1">
      <w:pPr>
        <w:rPr>
          <w:b/>
        </w:rPr>
      </w:pPr>
      <w:r w:rsidRPr="00AF19A1">
        <w:rPr>
          <w:b/>
        </w:rPr>
        <w:t xml:space="preserve">Comments about </w:t>
      </w:r>
      <w:proofErr w:type="gramStart"/>
      <w:r w:rsidRPr="00AF19A1">
        <w:rPr>
          <w:b/>
        </w:rPr>
        <w:t>December,</w:t>
      </w:r>
      <w:proofErr w:type="gramEnd"/>
      <w:r w:rsidRPr="00AF19A1">
        <w:rPr>
          <w:b/>
        </w:rPr>
        <w:t xml:space="preserve"> 2018 Globe and Mail Article</w:t>
      </w:r>
    </w:p>
    <w:p w14:paraId="43D1DB9F" w14:textId="12B62B22" w:rsidR="00AF19A1" w:rsidRDefault="00AF19A1">
      <w:pPr>
        <w:rPr>
          <w:b/>
        </w:rPr>
      </w:pPr>
      <w:r>
        <w:rPr>
          <w:b/>
        </w:rPr>
        <w:t xml:space="preserve">Allan </w:t>
      </w:r>
      <w:proofErr w:type="spellStart"/>
      <w:r>
        <w:rPr>
          <w:b/>
        </w:rPr>
        <w:t>Abbass</w:t>
      </w:r>
      <w:proofErr w:type="spellEnd"/>
    </w:p>
    <w:p w14:paraId="71A15FBC" w14:textId="56E2ABD4" w:rsidR="00AF19A1" w:rsidRDefault="00AF19A1"/>
    <w:p w14:paraId="6060317C" w14:textId="748A42AE" w:rsidR="00AF19A1" w:rsidRDefault="00AF19A1" w:rsidP="00AF19A1">
      <w:pPr>
        <w:pStyle w:val="ListParagraph"/>
        <w:numPr>
          <w:ilvl w:val="0"/>
          <w:numId w:val="1"/>
        </w:numPr>
      </w:pPr>
      <w:r>
        <w:t>Assumptions of Causation/</w:t>
      </w:r>
      <w:r w:rsidR="0070262F">
        <w:t xml:space="preserve">risk of </w:t>
      </w:r>
      <w:r>
        <w:t>missing Medical Factors</w:t>
      </w:r>
    </w:p>
    <w:p w14:paraId="50E6B9A8" w14:textId="473BC26E" w:rsidR="00AF19A1" w:rsidRDefault="00AF19A1" w:rsidP="00AF19A1">
      <w:pPr>
        <w:pStyle w:val="ListParagraph"/>
      </w:pPr>
      <w:r>
        <w:t xml:space="preserve">All patients we see always receive a full standard medical workup </w:t>
      </w:r>
      <w:proofErr w:type="spellStart"/>
      <w:r>
        <w:t>before hand</w:t>
      </w:r>
      <w:proofErr w:type="spellEnd"/>
      <w:r>
        <w:t xml:space="preserve">. Having said that we are continually watching for the emergence of illusion of four signals of medicine and medical conditions that were missed or are revolving. There is no assumption of psychological </w:t>
      </w:r>
      <w:proofErr w:type="spellStart"/>
      <w:r>
        <w:t>or medical</w:t>
      </w:r>
      <w:proofErr w:type="spellEnd"/>
      <w:r>
        <w:t xml:space="preserve"> causation! We simply examine through interviewing an observation and have her eye open for both elements of causation.</w:t>
      </w:r>
    </w:p>
    <w:p w14:paraId="4B1E6B37" w14:textId="1844E5E9" w:rsidR="00AF19A1" w:rsidRDefault="00AF19A1" w:rsidP="00AF19A1">
      <w:pPr>
        <w:pStyle w:val="ListParagraph"/>
        <w:numPr>
          <w:ilvl w:val="0"/>
          <w:numId w:val="1"/>
        </w:numPr>
      </w:pPr>
      <w:r>
        <w:t xml:space="preserve">The issue of “pushing” the patient. </w:t>
      </w:r>
    </w:p>
    <w:p w14:paraId="2634C96D" w14:textId="5044B99E" w:rsidR="00AF19A1" w:rsidRDefault="00AF19A1" w:rsidP="00AF19A1">
      <w:pPr>
        <w:ind w:left="720"/>
      </w:pPr>
      <w:r>
        <w:t xml:space="preserve">Patients are seen voluntarily enter send information </w:t>
      </w:r>
      <w:proofErr w:type="spellStart"/>
      <w:r>
        <w:t>before hand</w:t>
      </w:r>
      <w:proofErr w:type="spellEnd"/>
      <w:r>
        <w:t xml:space="preserve"> so that they can decide if they want an interview to determine whether or not emotional factors are part of their article conditions. People do not want an interview are not provided one. In the interview the person is encouraged to examine emotional processes and events and to observe what way the body response to emotional content when I think about. This process is the collaborative examination as opposed to “pressing” something we’re “pushing” something. If patient involuntarily puts defenses into play and is not aware of </w:t>
      </w:r>
      <w:proofErr w:type="gramStart"/>
      <w:r>
        <w:t>these</w:t>
      </w:r>
      <w:proofErr w:type="gramEnd"/>
      <w:r>
        <w:t xml:space="preserve"> they are clarified so that the patient can make a decision about using these mechanisms: the patient is entirely free to keep these mechanisms if they so choose.</w:t>
      </w:r>
    </w:p>
    <w:p w14:paraId="7791C66D" w14:textId="1CF9B989" w:rsidR="00AF19A1" w:rsidRDefault="00AF19A1" w:rsidP="00AF19A1">
      <w:pPr>
        <w:pStyle w:val="ListParagraph"/>
        <w:numPr>
          <w:ilvl w:val="0"/>
          <w:numId w:val="1"/>
        </w:numPr>
      </w:pPr>
      <w:r>
        <w:t>Rates of return to work</w:t>
      </w:r>
    </w:p>
    <w:p w14:paraId="334F8680" w14:textId="6CFC901D" w:rsidR="00AF19A1" w:rsidRDefault="00AF19A1" w:rsidP="00AF19A1">
      <w:pPr>
        <w:ind w:left="720"/>
      </w:pPr>
      <w:r>
        <w:t>In the article one reporting study showing a 56% return to work was noted. This is the lowest return to work rate that we have observed and published and comes from data from long disabled workers compensation patients your average raw fork almost 2 years with a combination of physical and psychiatric conditions. More typical return to work rates are in the range of 80% and other published studies.</w:t>
      </w:r>
    </w:p>
    <w:p w14:paraId="3031AA63" w14:textId="6BB1E441" w:rsidR="00AF19A1" w:rsidRDefault="00AF19A1" w:rsidP="00AF19A1">
      <w:pPr>
        <w:pStyle w:val="ListParagraph"/>
        <w:numPr>
          <w:ilvl w:val="0"/>
          <w:numId w:val="1"/>
        </w:numPr>
      </w:pPr>
      <w:r>
        <w:t>Women versus men</w:t>
      </w:r>
    </w:p>
    <w:p w14:paraId="228E6F93" w14:textId="4619FF57" w:rsidR="00AF19A1" w:rsidRDefault="00AF19A1" w:rsidP="00AF19A1">
      <w:pPr>
        <w:ind w:left="720"/>
      </w:pPr>
      <w:r>
        <w:t>The anatomy and physiology of emotions in men and women is the same. It also appears to be somewhere between humans and primates and other animals. We are talking basically instinctual emotions that do with survival, attachment, self defense grief and loss. In various research studies there are men and women typically. Women are not treated differently than men when it comes to these conditions.</w:t>
      </w:r>
    </w:p>
    <w:p w14:paraId="6E658518" w14:textId="5154A685" w:rsidR="00AF19A1" w:rsidRDefault="00AF19A1" w:rsidP="00AF19A1">
      <w:pPr>
        <w:pStyle w:val="ListParagraph"/>
        <w:numPr>
          <w:ilvl w:val="0"/>
          <w:numId w:val="1"/>
        </w:numPr>
      </w:pPr>
      <w:r>
        <w:t>Mixed conditions such as Multiple Sclerosis</w:t>
      </w:r>
    </w:p>
    <w:p w14:paraId="435A4CB9" w14:textId="5A035089" w:rsidR="00AF19A1" w:rsidRDefault="00AF19A1" w:rsidP="00AF19A1">
      <w:pPr>
        <w:ind w:left="720"/>
      </w:pPr>
      <w:r>
        <w:t xml:space="preserve">There are a range of medical conditions where there’re medical factors and emotional contributors. </w:t>
      </w:r>
      <w:r w:rsidR="00870BBB">
        <w:t xml:space="preserve">One example of this is multiple sclerosis. In studies of these patients we have seen about a 50% drop in symptoms with this emotionally focused somatically based treatment. This is very good news for this patient’s something </w:t>
      </w:r>
      <w:proofErr w:type="spellStart"/>
      <w:r w:rsidR="00870BBB">
        <w:t>something</w:t>
      </w:r>
      <w:proofErr w:type="spellEnd"/>
      <w:r w:rsidR="00870BBB">
        <w:t xml:space="preserve"> to be celebrated. The treatment should be made available to these patients so that some aspects of emotional factors can be essentially subtracted from the overall burden. There was an article written about a person with multiple sclerosis who we treated in the past who spoke about this. </w:t>
      </w:r>
      <w:hyperlink r:id="rId5" w:history="1">
        <w:r w:rsidR="00870BBB" w:rsidRPr="00F21929">
          <w:rPr>
            <w:rStyle w:val="Hyperlink"/>
          </w:rPr>
          <w:t>https://www.saltscapes.com/living-healthy-section/health-category/403-pessimism-can-shorten-your-life.html</w:t>
        </w:r>
      </w:hyperlink>
    </w:p>
    <w:p w14:paraId="740BFCEA" w14:textId="58B43EDB" w:rsidR="00870BBB" w:rsidRDefault="00870BBB" w:rsidP="00870BBB">
      <w:pPr>
        <w:pStyle w:val="ListParagraph"/>
        <w:numPr>
          <w:ilvl w:val="0"/>
          <w:numId w:val="1"/>
        </w:numPr>
      </w:pPr>
      <w:r>
        <w:t>“Negative emotions”</w:t>
      </w:r>
    </w:p>
    <w:p w14:paraId="15DC3CDD" w14:textId="10C3C86D" w:rsidR="00870BBB" w:rsidRDefault="00870BBB" w:rsidP="00870BBB">
      <w:pPr>
        <w:ind w:left="720"/>
      </w:pPr>
      <w:r>
        <w:t xml:space="preserve">There was notation of negative emotions. In reality the cause of these problems is complex feelings including sadness about broken attachments, rage, guilt about </w:t>
      </w:r>
      <w:proofErr w:type="gramStart"/>
      <w:r>
        <w:t>age,.</w:t>
      </w:r>
      <w:proofErr w:type="gramEnd"/>
      <w:r>
        <w:t xml:space="preserve"> </w:t>
      </w:r>
      <w:r>
        <w:lastRenderedPageBreak/>
        <w:t>Love and interrupted attachments are the heart of these problems as opposed to just anger.</w:t>
      </w:r>
    </w:p>
    <w:p w14:paraId="41ECAF5A" w14:textId="6A9686DB" w:rsidR="00846414" w:rsidRDefault="00846414" w:rsidP="00846414">
      <w:pPr>
        <w:pStyle w:val="ListParagraph"/>
        <w:numPr>
          <w:ilvl w:val="0"/>
          <w:numId w:val="1"/>
        </w:numPr>
      </w:pPr>
      <w:r>
        <w:t>Evidence for ISTDP</w:t>
      </w:r>
    </w:p>
    <w:p w14:paraId="1A98E084" w14:textId="77777777" w:rsidR="00B8017D" w:rsidRDefault="00B8017D" w:rsidP="00846414">
      <w:pPr>
        <w:ind w:left="720"/>
      </w:pPr>
      <w:r>
        <w:t xml:space="preserve">The article did not mention the wider evidence for ISTDP. </w:t>
      </w:r>
    </w:p>
    <w:p w14:paraId="3E7DA066" w14:textId="77777777" w:rsidR="00B8017D" w:rsidRDefault="00B8017D" w:rsidP="00B8017D">
      <w:pPr>
        <w:pStyle w:val="ListParagraph"/>
        <w:numPr>
          <w:ilvl w:val="0"/>
          <w:numId w:val="2"/>
        </w:numPr>
      </w:pPr>
      <w:r>
        <w:t xml:space="preserve">First there are over 40 randomized controlled trials of ISTDP for conditions including anxiety, depression, personality disorders, and somatoform disorders. The evidence points to significant, moderate to large treatment effects that are greater than controlled conditions and in follow-up are greater than other bona fide treatments. </w:t>
      </w:r>
    </w:p>
    <w:p w14:paraId="2BC0769F" w14:textId="6C17F854" w:rsidR="00846414" w:rsidRDefault="00B8017D" w:rsidP="00B8017D">
      <w:pPr>
        <w:pStyle w:val="ListParagraph"/>
        <w:numPr>
          <w:ilvl w:val="0"/>
          <w:numId w:val="2"/>
        </w:numPr>
      </w:pPr>
      <w:r>
        <w:t xml:space="preserve">There are also over 20 studies that have cost related measures: </w:t>
      </w:r>
      <w:proofErr w:type="gramStart"/>
      <w:r>
        <w:t>overall</w:t>
      </w:r>
      <w:proofErr w:type="gramEnd"/>
      <w:r>
        <w:t xml:space="preserve"> they report large cost reductions in hospital/doctor costs, medication costs, and disability costs after a course of ISTDP. These cost studies are tabulated here: </w:t>
      </w:r>
      <w:hyperlink r:id="rId6" w:history="1">
        <w:r w:rsidRPr="00F21929">
          <w:rPr>
            <w:rStyle w:val="Hyperlink"/>
          </w:rPr>
          <w:t>http://reachingthroughresistance.com/wp-content/uploads/2018/10/Cost-Effectiveness-studies-October-2018-1.docx</w:t>
        </w:r>
      </w:hyperlink>
    </w:p>
    <w:p w14:paraId="6E9E9D2F" w14:textId="372D1203" w:rsidR="004C75A2" w:rsidRDefault="004C75A2" w:rsidP="00B8017D">
      <w:pPr>
        <w:pStyle w:val="ListParagraph"/>
        <w:numPr>
          <w:ilvl w:val="0"/>
          <w:numId w:val="2"/>
        </w:numPr>
      </w:pPr>
      <w:r>
        <w:t xml:space="preserve">There are 17 studies of ISTDP for somatic disorders. See them listed below. Overall effects are large and sustained in </w:t>
      </w:r>
      <w:proofErr w:type="spellStart"/>
      <w:r>
        <w:t>followup</w:t>
      </w:r>
      <w:proofErr w:type="spellEnd"/>
      <w:r>
        <w:t>.</w:t>
      </w:r>
    </w:p>
    <w:p w14:paraId="630B4D84" w14:textId="77777777" w:rsidR="00B8017D" w:rsidRDefault="00B8017D" w:rsidP="00B8017D">
      <w:pPr>
        <w:pStyle w:val="ListParagraph"/>
        <w:numPr>
          <w:ilvl w:val="0"/>
          <w:numId w:val="2"/>
        </w:numPr>
      </w:pPr>
      <w:r>
        <w:t xml:space="preserve">The other notable finding in the ISTDP research is how effective it is with complex and resistant patient populations: there are 11 studies pointing to large treatment effects in this treatment is applied to populations who are refractory to treatment or have personality disorders. </w:t>
      </w:r>
    </w:p>
    <w:p w14:paraId="60F6DDA0" w14:textId="77777777" w:rsidR="00B8017D" w:rsidRDefault="00B8017D" w:rsidP="00B8017D">
      <w:pPr>
        <w:pStyle w:val="ListParagraph"/>
        <w:numPr>
          <w:ilvl w:val="0"/>
          <w:numId w:val="2"/>
        </w:numPr>
      </w:pPr>
      <w:r>
        <w:t xml:space="preserve">There are other types of research pointing to the role of emotional activation and experiencing, the role of working on defenses and the role of linking past and present content: this type of research validates the core foundation of the model. </w:t>
      </w:r>
    </w:p>
    <w:p w14:paraId="4DFAEAAF" w14:textId="43A9B7A4" w:rsidR="00B8017D" w:rsidRDefault="00B8017D" w:rsidP="00B8017D">
      <w:pPr>
        <w:pStyle w:val="ListParagraph"/>
        <w:numPr>
          <w:ilvl w:val="0"/>
          <w:numId w:val="2"/>
        </w:numPr>
      </w:pPr>
      <w:r>
        <w:t xml:space="preserve">The model also has a very effective trial therapy interview which is both cost-effective, clinically effective and appears superior to a standard psychiatric intake assessment: </w:t>
      </w:r>
      <w:hyperlink r:id="rId7" w:history="1">
        <w:r w:rsidRPr="00F21929">
          <w:rPr>
            <w:rStyle w:val="Hyperlink"/>
          </w:rPr>
          <w:t>http://reachingthroughresistance.com/wp-content/uploads/2018/09/ISTDP-Research-1.pdf</w:t>
        </w:r>
      </w:hyperlink>
    </w:p>
    <w:p w14:paraId="747CD5F2" w14:textId="3D4F8B34" w:rsidR="00B8017D" w:rsidRDefault="00B8017D" w:rsidP="00B8017D">
      <w:pPr>
        <w:pStyle w:val="ListParagraph"/>
        <w:numPr>
          <w:ilvl w:val="0"/>
          <w:numId w:val="2"/>
        </w:numPr>
      </w:pPr>
      <w:r>
        <w:t xml:space="preserve">The other hallmark of this model is how efficient it is. Most of the studies use treatments of under 20 sessions on average, even with complex populations. This renders ISTDP as a candidate for one of the most efficient psychotherapeutic approaches. </w:t>
      </w:r>
    </w:p>
    <w:p w14:paraId="2F9C229B" w14:textId="77777777" w:rsidR="004C75A2" w:rsidRDefault="004C75A2" w:rsidP="004C75A2"/>
    <w:p w14:paraId="2B721D31" w14:textId="77777777" w:rsidR="004C75A2" w:rsidRPr="004C75A2" w:rsidRDefault="004C75A2" w:rsidP="004C75A2">
      <w:pPr>
        <w:ind w:left="720"/>
        <w:rPr>
          <w:rFonts w:asciiTheme="majorHAnsi" w:hAnsiTheme="majorHAnsi"/>
          <w:b/>
        </w:rPr>
      </w:pPr>
      <w:r w:rsidRPr="004C75A2">
        <w:rPr>
          <w:rFonts w:asciiTheme="majorHAnsi" w:hAnsiTheme="majorHAnsi"/>
          <w:b/>
        </w:rPr>
        <w:t>Somatic Symptom Disorder Outcome Studies of Intensive Short-term Dynamic Psychotherapy</w:t>
      </w:r>
    </w:p>
    <w:tbl>
      <w:tblPr>
        <w:tblStyle w:val="TableGrid"/>
        <w:tblpPr w:leftFromText="180" w:rightFromText="180" w:vertAnchor="page" w:horzAnchor="page" w:tblpX="1189" w:tblpY="1572"/>
        <w:tblW w:w="10145" w:type="dxa"/>
        <w:tblLayout w:type="fixed"/>
        <w:tblLook w:val="04A0" w:firstRow="1" w:lastRow="0" w:firstColumn="1" w:lastColumn="0" w:noHBand="0" w:noVBand="1"/>
      </w:tblPr>
      <w:tblGrid>
        <w:gridCol w:w="2376"/>
        <w:gridCol w:w="1594"/>
        <w:gridCol w:w="1761"/>
        <w:gridCol w:w="1181"/>
        <w:gridCol w:w="3233"/>
      </w:tblGrid>
      <w:tr w:rsidR="004C75A2" w:rsidRPr="00B419A6" w14:paraId="46969BE7" w14:textId="77777777" w:rsidTr="00557FA0">
        <w:tc>
          <w:tcPr>
            <w:tcW w:w="2376" w:type="dxa"/>
          </w:tcPr>
          <w:p w14:paraId="53D6B385" w14:textId="77777777" w:rsidR="004C75A2" w:rsidRPr="00B419A6" w:rsidRDefault="004C75A2" w:rsidP="00557FA0">
            <w:pPr>
              <w:rPr>
                <w:rFonts w:asciiTheme="majorHAnsi" w:hAnsiTheme="majorHAnsi"/>
                <w:b/>
              </w:rPr>
            </w:pPr>
            <w:r w:rsidRPr="00B419A6">
              <w:rPr>
                <w:rFonts w:asciiTheme="majorHAnsi" w:hAnsiTheme="majorHAnsi"/>
                <w:b/>
              </w:rPr>
              <w:lastRenderedPageBreak/>
              <w:t>Condition</w:t>
            </w:r>
          </w:p>
        </w:tc>
        <w:tc>
          <w:tcPr>
            <w:tcW w:w="1594" w:type="dxa"/>
          </w:tcPr>
          <w:p w14:paraId="6EB1E389" w14:textId="77777777" w:rsidR="004C75A2" w:rsidRPr="00B419A6" w:rsidRDefault="004C75A2" w:rsidP="00557FA0">
            <w:pPr>
              <w:rPr>
                <w:rFonts w:asciiTheme="majorHAnsi" w:hAnsiTheme="majorHAnsi"/>
                <w:b/>
              </w:rPr>
            </w:pPr>
            <w:r w:rsidRPr="00B419A6">
              <w:rPr>
                <w:rFonts w:asciiTheme="majorHAnsi" w:hAnsiTheme="majorHAnsi"/>
                <w:b/>
              </w:rPr>
              <w:t>Country</w:t>
            </w:r>
          </w:p>
        </w:tc>
        <w:tc>
          <w:tcPr>
            <w:tcW w:w="1761" w:type="dxa"/>
          </w:tcPr>
          <w:p w14:paraId="3972E007" w14:textId="77777777" w:rsidR="004C75A2" w:rsidRPr="00B419A6" w:rsidRDefault="004C75A2" w:rsidP="00557FA0">
            <w:pPr>
              <w:rPr>
                <w:rFonts w:asciiTheme="majorHAnsi" w:hAnsiTheme="majorHAnsi"/>
                <w:b/>
              </w:rPr>
            </w:pPr>
            <w:r w:rsidRPr="00B419A6">
              <w:rPr>
                <w:rFonts w:asciiTheme="majorHAnsi" w:hAnsiTheme="majorHAnsi"/>
                <w:b/>
              </w:rPr>
              <w:t>Study Type</w:t>
            </w:r>
          </w:p>
          <w:p w14:paraId="07093DB2" w14:textId="77777777" w:rsidR="004C75A2" w:rsidRPr="00B419A6" w:rsidRDefault="004C75A2" w:rsidP="00557FA0">
            <w:pPr>
              <w:rPr>
                <w:rFonts w:asciiTheme="majorHAnsi" w:hAnsiTheme="majorHAnsi"/>
                <w:b/>
              </w:rPr>
            </w:pPr>
          </w:p>
        </w:tc>
        <w:tc>
          <w:tcPr>
            <w:tcW w:w="1181" w:type="dxa"/>
          </w:tcPr>
          <w:p w14:paraId="08907E47" w14:textId="77777777" w:rsidR="004C75A2" w:rsidRPr="00B419A6" w:rsidRDefault="004C75A2" w:rsidP="00557FA0">
            <w:pPr>
              <w:rPr>
                <w:rFonts w:asciiTheme="majorHAnsi" w:hAnsiTheme="majorHAnsi"/>
                <w:b/>
              </w:rPr>
            </w:pPr>
            <w:r w:rsidRPr="00B419A6">
              <w:rPr>
                <w:rFonts w:asciiTheme="majorHAnsi" w:hAnsiTheme="majorHAnsi"/>
                <w:b/>
              </w:rPr>
              <w:t xml:space="preserve">Number </w:t>
            </w:r>
          </w:p>
          <w:p w14:paraId="2A492E81" w14:textId="77777777" w:rsidR="004C75A2" w:rsidRPr="00B419A6" w:rsidRDefault="004C75A2" w:rsidP="00557FA0">
            <w:pPr>
              <w:rPr>
                <w:rFonts w:asciiTheme="majorHAnsi" w:hAnsiTheme="majorHAnsi"/>
                <w:b/>
              </w:rPr>
            </w:pPr>
            <w:r w:rsidRPr="00B419A6">
              <w:rPr>
                <w:rFonts w:asciiTheme="majorHAnsi" w:hAnsiTheme="majorHAnsi"/>
                <w:b/>
              </w:rPr>
              <w:t>Cases</w:t>
            </w:r>
          </w:p>
        </w:tc>
        <w:tc>
          <w:tcPr>
            <w:tcW w:w="3233" w:type="dxa"/>
          </w:tcPr>
          <w:p w14:paraId="5489D3FE" w14:textId="77777777" w:rsidR="004C75A2" w:rsidRPr="00B419A6" w:rsidRDefault="004C75A2" w:rsidP="00557FA0">
            <w:pPr>
              <w:rPr>
                <w:rFonts w:asciiTheme="majorHAnsi" w:hAnsiTheme="majorHAnsi"/>
                <w:b/>
              </w:rPr>
            </w:pPr>
            <w:r w:rsidRPr="00B419A6">
              <w:rPr>
                <w:rFonts w:asciiTheme="majorHAnsi" w:hAnsiTheme="majorHAnsi"/>
                <w:b/>
              </w:rPr>
              <w:t>Outcome</w:t>
            </w:r>
          </w:p>
        </w:tc>
      </w:tr>
      <w:tr w:rsidR="004C75A2" w:rsidRPr="00B419A6" w14:paraId="222BDA79" w14:textId="77777777" w:rsidTr="00557FA0">
        <w:tc>
          <w:tcPr>
            <w:tcW w:w="2376" w:type="dxa"/>
          </w:tcPr>
          <w:p w14:paraId="1AE7C496" w14:textId="77777777" w:rsidR="004C75A2" w:rsidRPr="00B419A6" w:rsidRDefault="004C75A2" w:rsidP="00557FA0">
            <w:pPr>
              <w:rPr>
                <w:rFonts w:asciiTheme="majorHAnsi" w:hAnsiTheme="majorHAnsi"/>
              </w:rPr>
            </w:pPr>
            <w:r w:rsidRPr="00B419A6">
              <w:rPr>
                <w:rFonts w:asciiTheme="majorHAnsi" w:hAnsiTheme="majorHAnsi"/>
              </w:rPr>
              <w:t>Urethral Syndrome</w:t>
            </w:r>
            <w:r>
              <w:rPr>
                <w:rFonts w:asciiTheme="majorHAnsi" w:hAnsiTheme="majorHAnsi"/>
              </w:rPr>
              <w:t>/ Pelvic Pain</w:t>
            </w:r>
            <w:r w:rsidRPr="00B419A6">
              <w:rPr>
                <w:rFonts w:asciiTheme="majorHAnsi" w:hAnsiTheme="majorHAnsi"/>
              </w:rPr>
              <w:t xml:space="preserve"> (1)</w:t>
            </w:r>
          </w:p>
        </w:tc>
        <w:tc>
          <w:tcPr>
            <w:tcW w:w="1594" w:type="dxa"/>
          </w:tcPr>
          <w:p w14:paraId="486D75E6" w14:textId="77777777" w:rsidR="004C75A2" w:rsidRPr="00B419A6" w:rsidRDefault="004C75A2" w:rsidP="00557FA0">
            <w:pPr>
              <w:rPr>
                <w:rFonts w:asciiTheme="majorHAnsi" w:hAnsiTheme="majorHAnsi"/>
              </w:rPr>
            </w:pPr>
            <w:r w:rsidRPr="00B419A6">
              <w:rPr>
                <w:rFonts w:asciiTheme="majorHAnsi" w:hAnsiTheme="majorHAnsi"/>
              </w:rPr>
              <w:t>Italy</w:t>
            </w:r>
          </w:p>
        </w:tc>
        <w:tc>
          <w:tcPr>
            <w:tcW w:w="1761" w:type="dxa"/>
          </w:tcPr>
          <w:p w14:paraId="2A50D65E" w14:textId="77777777" w:rsidR="004C75A2" w:rsidRPr="00B419A6" w:rsidRDefault="004C75A2" w:rsidP="00557FA0">
            <w:pPr>
              <w:rPr>
                <w:rFonts w:asciiTheme="majorHAnsi" w:hAnsiTheme="majorHAnsi"/>
              </w:rPr>
            </w:pPr>
            <w:r>
              <w:rPr>
                <w:rFonts w:asciiTheme="majorHAnsi" w:hAnsiTheme="majorHAnsi"/>
              </w:rPr>
              <w:t xml:space="preserve">RCT </w:t>
            </w:r>
          </w:p>
        </w:tc>
        <w:tc>
          <w:tcPr>
            <w:tcW w:w="1181" w:type="dxa"/>
          </w:tcPr>
          <w:p w14:paraId="7A3C9781" w14:textId="77777777" w:rsidR="004C75A2" w:rsidRPr="00B419A6" w:rsidRDefault="004C75A2" w:rsidP="00557FA0">
            <w:pPr>
              <w:rPr>
                <w:rFonts w:asciiTheme="majorHAnsi" w:hAnsiTheme="majorHAnsi"/>
              </w:rPr>
            </w:pPr>
            <w:r w:rsidRPr="00B419A6">
              <w:rPr>
                <w:rFonts w:asciiTheme="majorHAnsi" w:hAnsiTheme="majorHAnsi"/>
              </w:rPr>
              <w:t>36</w:t>
            </w:r>
          </w:p>
        </w:tc>
        <w:tc>
          <w:tcPr>
            <w:tcW w:w="3233" w:type="dxa"/>
          </w:tcPr>
          <w:p w14:paraId="018D3B62" w14:textId="77777777" w:rsidR="004C75A2" w:rsidRPr="00B419A6" w:rsidRDefault="004C75A2" w:rsidP="00557FA0">
            <w:pPr>
              <w:rPr>
                <w:rFonts w:asciiTheme="majorHAnsi" w:hAnsiTheme="majorHAnsi"/>
              </w:rPr>
            </w:pPr>
            <w:r w:rsidRPr="00B419A6">
              <w:rPr>
                <w:rFonts w:asciiTheme="majorHAnsi" w:hAnsiTheme="majorHAnsi"/>
              </w:rPr>
              <w:t>ISTDP &gt; Medical TAU</w:t>
            </w:r>
          </w:p>
        </w:tc>
      </w:tr>
      <w:tr w:rsidR="004C75A2" w:rsidRPr="00B419A6" w14:paraId="4C90CBB1" w14:textId="77777777" w:rsidTr="00557FA0">
        <w:tc>
          <w:tcPr>
            <w:tcW w:w="2376" w:type="dxa"/>
          </w:tcPr>
          <w:p w14:paraId="07690C75" w14:textId="77777777" w:rsidR="004C75A2" w:rsidRPr="00B419A6" w:rsidRDefault="004C75A2" w:rsidP="00557FA0">
            <w:pPr>
              <w:rPr>
                <w:rFonts w:asciiTheme="majorHAnsi" w:hAnsiTheme="majorHAnsi"/>
              </w:rPr>
            </w:pPr>
            <w:r w:rsidRPr="00B419A6">
              <w:rPr>
                <w:rFonts w:asciiTheme="majorHAnsi" w:hAnsiTheme="majorHAnsi"/>
              </w:rPr>
              <w:t>Mixed MUS (2)</w:t>
            </w:r>
          </w:p>
        </w:tc>
        <w:tc>
          <w:tcPr>
            <w:tcW w:w="1594" w:type="dxa"/>
          </w:tcPr>
          <w:p w14:paraId="640FA1D5" w14:textId="77777777" w:rsidR="004C75A2" w:rsidRPr="00B419A6" w:rsidRDefault="004C75A2" w:rsidP="00557FA0">
            <w:pPr>
              <w:rPr>
                <w:rFonts w:asciiTheme="majorHAnsi" w:hAnsiTheme="majorHAnsi"/>
              </w:rPr>
            </w:pPr>
            <w:r w:rsidRPr="00B419A6">
              <w:rPr>
                <w:rFonts w:asciiTheme="majorHAnsi" w:hAnsiTheme="majorHAnsi"/>
              </w:rPr>
              <w:t>Canada</w:t>
            </w:r>
          </w:p>
        </w:tc>
        <w:tc>
          <w:tcPr>
            <w:tcW w:w="1761" w:type="dxa"/>
          </w:tcPr>
          <w:p w14:paraId="46C048D9" w14:textId="77777777" w:rsidR="004C75A2" w:rsidRPr="00B419A6" w:rsidRDefault="004C75A2" w:rsidP="00557FA0">
            <w:pPr>
              <w:rPr>
                <w:rFonts w:asciiTheme="majorHAnsi" w:hAnsiTheme="majorHAnsi"/>
              </w:rPr>
            </w:pPr>
            <w:r w:rsidRPr="00B419A6">
              <w:rPr>
                <w:rFonts w:asciiTheme="majorHAnsi" w:hAnsiTheme="majorHAnsi"/>
              </w:rPr>
              <w:t>Case Series</w:t>
            </w:r>
          </w:p>
        </w:tc>
        <w:tc>
          <w:tcPr>
            <w:tcW w:w="1181" w:type="dxa"/>
          </w:tcPr>
          <w:p w14:paraId="59B79488" w14:textId="77777777" w:rsidR="004C75A2" w:rsidRPr="00B419A6" w:rsidRDefault="004C75A2" w:rsidP="00557FA0">
            <w:pPr>
              <w:rPr>
                <w:rFonts w:asciiTheme="majorHAnsi" w:hAnsiTheme="majorHAnsi"/>
              </w:rPr>
            </w:pPr>
            <w:r w:rsidRPr="00B419A6">
              <w:rPr>
                <w:rFonts w:asciiTheme="majorHAnsi" w:hAnsiTheme="majorHAnsi"/>
              </w:rPr>
              <w:t>29</w:t>
            </w:r>
          </w:p>
        </w:tc>
        <w:tc>
          <w:tcPr>
            <w:tcW w:w="3233" w:type="dxa"/>
          </w:tcPr>
          <w:p w14:paraId="72CA0E3A" w14:textId="77777777" w:rsidR="004C75A2" w:rsidRPr="00B419A6" w:rsidRDefault="004C75A2" w:rsidP="00557FA0">
            <w:pPr>
              <w:rPr>
                <w:rFonts w:asciiTheme="majorHAnsi" w:hAnsiTheme="majorHAnsi"/>
              </w:rPr>
            </w:pPr>
            <w:r w:rsidRPr="00B419A6">
              <w:rPr>
                <w:rFonts w:asciiTheme="majorHAnsi" w:hAnsiTheme="majorHAnsi"/>
              </w:rPr>
              <w:t>Sig symptom reduction</w:t>
            </w:r>
          </w:p>
        </w:tc>
      </w:tr>
      <w:tr w:rsidR="004C75A2" w:rsidRPr="00B419A6" w14:paraId="05D22D03" w14:textId="77777777" w:rsidTr="00557FA0">
        <w:tc>
          <w:tcPr>
            <w:tcW w:w="2376" w:type="dxa"/>
          </w:tcPr>
          <w:p w14:paraId="69E3329E" w14:textId="77777777" w:rsidR="004C75A2" w:rsidRPr="00B419A6" w:rsidRDefault="004C75A2" w:rsidP="00557FA0">
            <w:pPr>
              <w:rPr>
                <w:rFonts w:asciiTheme="majorHAnsi" w:hAnsiTheme="majorHAnsi"/>
              </w:rPr>
            </w:pPr>
            <w:r w:rsidRPr="00B419A6">
              <w:rPr>
                <w:rFonts w:asciiTheme="majorHAnsi" w:hAnsiTheme="majorHAnsi"/>
              </w:rPr>
              <w:t>Back Pain (3)</w:t>
            </w:r>
          </w:p>
        </w:tc>
        <w:tc>
          <w:tcPr>
            <w:tcW w:w="1594" w:type="dxa"/>
          </w:tcPr>
          <w:p w14:paraId="4C19D820" w14:textId="77777777" w:rsidR="004C75A2" w:rsidRPr="00B419A6" w:rsidRDefault="004C75A2" w:rsidP="00557FA0">
            <w:pPr>
              <w:rPr>
                <w:rFonts w:asciiTheme="majorHAnsi" w:hAnsiTheme="majorHAnsi"/>
              </w:rPr>
            </w:pPr>
            <w:r w:rsidRPr="00B419A6">
              <w:rPr>
                <w:rFonts w:asciiTheme="majorHAnsi" w:hAnsiTheme="majorHAnsi"/>
              </w:rPr>
              <w:t>USA</w:t>
            </w:r>
          </w:p>
        </w:tc>
        <w:tc>
          <w:tcPr>
            <w:tcW w:w="1761" w:type="dxa"/>
          </w:tcPr>
          <w:p w14:paraId="16851FB7" w14:textId="77777777" w:rsidR="004C75A2" w:rsidRPr="00B419A6" w:rsidRDefault="004C75A2" w:rsidP="00557FA0">
            <w:pPr>
              <w:rPr>
                <w:rFonts w:asciiTheme="majorHAnsi" w:hAnsiTheme="majorHAnsi"/>
              </w:rPr>
            </w:pPr>
            <w:r w:rsidRPr="00B419A6">
              <w:rPr>
                <w:rFonts w:asciiTheme="majorHAnsi" w:hAnsiTheme="majorHAnsi"/>
              </w:rPr>
              <w:t>Case Series</w:t>
            </w:r>
          </w:p>
        </w:tc>
        <w:tc>
          <w:tcPr>
            <w:tcW w:w="1181" w:type="dxa"/>
          </w:tcPr>
          <w:p w14:paraId="0C1E6C07" w14:textId="77777777" w:rsidR="004C75A2" w:rsidRPr="00B419A6" w:rsidRDefault="004C75A2" w:rsidP="00557FA0">
            <w:pPr>
              <w:rPr>
                <w:rFonts w:asciiTheme="majorHAnsi" w:hAnsiTheme="majorHAnsi"/>
              </w:rPr>
            </w:pPr>
            <w:r w:rsidRPr="00B419A6">
              <w:rPr>
                <w:rFonts w:asciiTheme="majorHAnsi" w:hAnsiTheme="majorHAnsi"/>
              </w:rPr>
              <w:t>47</w:t>
            </w:r>
          </w:p>
        </w:tc>
        <w:tc>
          <w:tcPr>
            <w:tcW w:w="3233" w:type="dxa"/>
          </w:tcPr>
          <w:p w14:paraId="0622F308" w14:textId="77777777" w:rsidR="004C75A2" w:rsidRPr="00B419A6" w:rsidRDefault="004C75A2" w:rsidP="00557FA0">
            <w:pPr>
              <w:rPr>
                <w:rFonts w:asciiTheme="majorHAnsi" w:hAnsiTheme="majorHAnsi"/>
              </w:rPr>
            </w:pPr>
            <w:r w:rsidRPr="00B419A6">
              <w:rPr>
                <w:rFonts w:asciiTheme="majorHAnsi" w:hAnsiTheme="majorHAnsi"/>
              </w:rPr>
              <w:t>Sig Pain Reduction</w:t>
            </w:r>
          </w:p>
        </w:tc>
      </w:tr>
      <w:tr w:rsidR="004C75A2" w:rsidRPr="00B419A6" w14:paraId="46BB560B" w14:textId="77777777" w:rsidTr="00557FA0">
        <w:tc>
          <w:tcPr>
            <w:tcW w:w="2376" w:type="dxa"/>
          </w:tcPr>
          <w:p w14:paraId="6B157AEB" w14:textId="77777777" w:rsidR="004C75A2" w:rsidRPr="00B419A6" w:rsidRDefault="004C75A2" w:rsidP="00557FA0">
            <w:pPr>
              <w:rPr>
                <w:rFonts w:asciiTheme="majorHAnsi" w:hAnsiTheme="majorHAnsi"/>
              </w:rPr>
            </w:pPr>
            <w:r w:rsidRPr="00B419A6">
              <w:rPr>
                <w:rFonts w:asciiTheme="majorHAnsi" w:hAnsiTheme="majorHAnsi"/>
              </w:rPr>
              <w:t>Functional Movement Disorders (4)</w:t>
            </w:r>
          </w:p>
        </w:tc>
        <w:tc>
          <w:tcPr>
            <w:tcW w:w="1594" w:type="dxa"/>
          </w:tcPr>
          <w:p w14:paraId="3219775E" w14:textId="77777777" w:rsidR="004C75A2" w:rsidRPr="00B419A6" w:rsidRDefault="004C75A2" w:rsidP="00557FA0">
            <w:pPr>
              <w:rPr>
                <w:rFonts w:asciiTheme="majorHAnsi" w:hAnsiTheme="majorHAnsi"/>
              </w:rPr>
            </w:pPr>
            <w:r w:rsidRPr="00B419A6">
              <w:rPr>
                <w:rFonts w:asciiTheme="majorHAnsi" w:hAnsiTheme="majorHAnsi"/>
              </w:rPr>
              <w:t>USA</w:t>
            </w:r>
          </w:p>
        </w:tc>
        <w:tc>
          <w:tcPr>
            <w:tcW w:w="1761" w:type="dxa"/>
          </w:tcPr>
          <w:p w14:paraId="16051D81" w14:textId="77777777" w:rsidR="004C75A2" w:rsidRPr="00B419A6" w:rsidRDefault="004C75A2" w:rsidP="00557FA0">
            <w:pPr>
              <w:rPr>
                <w:rFonts w:asciiTheme="majorHAnsi" w:hAnsiTheme="majorHAnsi"/>
              </w:rPr>
            </w:pPr>
            <w:r w:rsidRPr="00B419A6">
              <w:rPr>
                <w:rFonts w:asciiTheme="majorHAnsi" w:hAnsiTheme="majorHAnsi"/>
              </w:rPr>
              <w:t>Case Series</w:t>
            </w:r>
          </w:p>
        </w:tc>
        <w:tc>
          <w:tcPr>
            <w:tcW w:w="1181" w:type="dxa"/>
          </w:tcPr>
          <w:p w14:paraId="5D4994DC" w14:textId="77777777" w:rsidR="004C75A2" w:rsidRPr="00B419A6" w:rsidRDefault="004C75A2" w:rsidP="00557FA0">
            <w:pPr>
              <w:rPr>
                <w:rFonts w:asciiTheme="majorHAnsi" w:hAnsiTheme="majorHAnsi"/>
              </w:rPr>
            </w:pPr>
            <w:r w:rsidRPr="00B419A6">
              <w:rPr>
                <w:rFonts w:asciiTheme="majorHAnsi" w:hAnsiTheme="majorHAnsi"/>
              </w:rPr>
              <w:t>9</w:t>
            </w:r>
          </w:p>
        </w:tc>
        <w:tc>
          <w:tcPr>
            <w:tcW w:w="3233" w:type="dxa"/>
          </w:tcPr>
          <w:p w14:paraId="6AE0A232" w14:textId="77777777" w:rsidR="004C75A2" w:rsidRPr="00B419A6" w:rsidRDefault="004C75A2" w:rsidP="00557FA0">
            <w:pPr>
              <w:rPr>
                <w:rFonts w:asciiTheme="majorHAnsi" w:hAnsiTheme="majorHAnsi"/>
              </w:rPr>
            </w:pPr>
            <w:r w:rsidRPr="00B419A6">
              <w:rPr>
                <w:rFonts w:asciiTheme="majorHAnsi" w:hAnsiTheme="majorHAnsi"/>
              </w:rPr>
              <w:t>Sig Symptom Reduction</w:t>
            </w:r>
          </w:p>
        </w:tc>
      </w:tr>
      <w:tr w:rsidR="004C75A2" w:rsidRPr="00B419A6" w14:paraId="353DC4B7" w14:textId="77777777" w:rsidTr="00557FA0">
        <w:tc>
          <w:tcPr>
            <w:tcW w:w="2376" w:type="dxa"/>
          </w:tcPr>
          <w:p w14:paraId="1BE0C3D5" w14:textId="77777777" w:rsidR="004C75A2" w:rsidRPr="00B419A6" w:rsidRDefault="004C75A2" w:rsidP="00557FA0">
            <w:pPr>
              <w:rPr>
                <w:rFonts w:asciiTheme="majorHAnsi" w:hAnsiTheme="majorHAnsi"/>
              </w:rPr>
            </w:pPr>
            <w:r>
              <w:rPr>
                <w:rFonts w:asciiTheme="majorHAnsi" w:hAnsiTheme="majorHAnsi"/>
              </w:rPr>
              <w:t xml:space="preserve">Chronic </w:t>
            </w:r>
            <w:r w:rsidRPr="00B419A6">
              <w:rPr>
                <w:rFonts w:asciiTheme="majorHAnsi" w:hAnsiTheme="majorHAnsi"/>
              </w:rPr>
              <w:t>Headache (5)</w:t>
            </w:r>
          </w:p>
        </w:tc>
        <w:tc>
          <w:tcPr>
            <w:tcW w:w="1594" w:type="dxa"/>
          </w:tcPr>
          <w:p w14:paraId="18C58212" w14:textId="77777777" w:rsidR="004C75A2" w:rsidRPr="00B419A6" w:rsidRDefault="004C75A2" w:rsidP="00557FA0">
            <w:pPr>
              <w:rPr>
                <w:rFonts w:asciiTheme="majorHAnsi" w:hAnsiTheme="majorHAnsi"/>
              </w:rPr>
            </w:pPr>
            <w:r w:rsidRPr="00B419A6">
              <w:rPr>
                <w:rFonts w:asciiTheme="majorHAnsi" w:hAnsiTheme="majorHAnsi"/>
              </w:rPr>
              <w:t>Canada</w:t>
            </w:r>
          </w:p>
        </w:tc>
        <w:tc>
          <w:tcPr>
            <w:tcW w:w="1761" w:type="dxa"/>
          </w:tcPr>
          <w:p w14:paraId="6C1BAF26" w14:textId="77777777" w:rsidR="004C75A2" w:rsidRPr="00B419A6" w:rsidRDefault="004C75A2" w:rsidP="00557FA0">
            <w:pPr>
              <w:rPr>
                <w:rFonts w:asciiTheme="majorHAnsi" w:hAnsiTheme="majorHAnsi"/>
              </w:rPr>
            </w:pPr>
            <w:r w:rsidRPr="00B419A6">
              <w:rPr>
                <w:rFonts w:asciiTheme="majorHAnsi" w:hAnsiTheme="majorHAnsi"/>
              </w:rPr>
              <w:t>Case Series</w:t>
            </w:r>
          </w:p>
        </w:tc>
        <w:tc>
          <w:tcPr>
            <w:tcW w:w="1181" w:type="dxa"/>
          </w:tcPr>
          <w:p w14:paraId="7D1B30FF" w14:textId="77777777" w:rsidR="004C75A2" w:rsidRPr="00B419A6" w:rsidRDefault="004C75A2" w:rsidP="00557FA0">
            <w:pPr>
              <w:rPr>
                <w:rFonts w:asciiTheme="majorHAnsi" w:hAnsiTheme="majorHAnsi"/>
              </w:rPr>
            </w:pPr>
            <w:r w:rsidRPr="00B419A6">
              <w:rPr>
                <w:rFonts w:asciiTheme="majorHAnsi" w:hAnsiTheme="majorHAnsi"/>
              </w:rPr>
              <w:t>29</w:t>
            </w:r>
          </w:p>
        </w:tc>
        <w:tc>
          <w:tcPr>
            <w:tcW w:w="3233" w:type="dxa"/>
          </w:tcPr>
          <w:p w14:paraId="1733B1EE" w14:textId="77777777" w:rsidR="004C75A2" w:rsidRPr="00B419A6" w:rsidRDefault="004C75A2" w:rsidP="00557FA0">
            <w:pPr>
              <w:rPr>
                <w:rFonts w:asciiTheme="majorHAnsi" w:hAnsiTheme="majorHAnsi"/>
              </w:rPr>
            </w:pPr>
            <w:r w:rsidRPr="00B419A6">
              <w:rPr>
                <w:rFonts w:asciiTheme="majorHAnsi" w:hAnsiTheme="majorHAnsi"/>
              </w:rPr>
              <w:t>Sig Symptom and cost reduction</w:t>
            </w:r>
          </w:p>
        </w:tc>
      </w:tr>
      <w:tr w:rsidR="004C75A2" w:rsidRPr="00B419A6" w14:paraId="04CFA0A5" w14:textId="77777777" w:rsidTr="00557FA0">
        <w:tc>
          <w:tcPr>
            <w:tcW w:w="2376" w:type="dxa"/>
          </w:tcPr>
          <w:p w14:paraId="1DB05E60" w14:textId="77777777" w:rsidR="004C75A2" w:rsidRPr="00B419A6" w:rsidRDefault="004C75A2" w:rsidP="00557FA0">
            <w:pPr>
              <w:rPr>
                <w:rFonts w:asciiTheme="majorHAnsi" w:hAnsiTheme="majorHAnsi"/>
              </w:rPr>
            </w:pPr>
            <w:proofErr w:type="spellStart"/>
            <w:r w:rsidRPr="00B419A6">
              <w:rPr>
                <w:rFonts w:asciiTheme="majorHAnsi" w:hAnsiTheme="majorHAnsi"/>
              </w:rPr>
              <w:t>Pseudoseizures</w:t>
            </w:r>
            <w:proofErr w:type="spellEnd"/>
            <w:r w:rsidRPr="00B419A6">
              <w:rPr>
                <w:rFonts w:asciiTheme="majorHAnsi" w:hAnsiTheme="majorHAnsi"/>
              </w:rPr>
              <w:t xml:space="preserve"> (6)</w:t>
            </w:r>
          </w:p>
        </w:tc>
        <w:tc>
          <w:tcPr>
            <w:tcW w:w="1594" w:type="dxa"/>
          </w:tcPr>
          <w:p w14:paraId="12213DB4" w14:textId="77777777" w:rsidR="004C75A2" w:rsidRPr="00B419A6" w:rsidRDefault="004C75A2" w:rsidP="00557FA0">
            <w:pPr>
              <w:rPr>
                <w:rFonts w:asciiTheme="majorHAnsi" w:hAnsiTheme="majorHAnsi"/>
              </w:rPr>
            </w:pPr>
            <w:r w:rsidRPr="00B419A6">
              <w:rPr>
                <w:rFonts w:asciiTheme="majorHAnsi" w:hAnsiTheme="majorHAnsi"/>
              </w:rPr>
              <w:t>Canada/</w:t>
            </w:r>
          </w:p>
          <w:p w14:paraId="2048D80B" w14:textId="77777777" w:rsidR="004C75A2" w:rsidRPr="00B419A6" w:rsidRDefault="004C75A2" w:rsidP="00557FA0">
            <w:pPr>
              <w:rPr>
                <w:rFonts w:asciiTheme="majorHAnsi" w:hAnsiTheme="majorHAnsi"/>
              </w:rPr>
            </w:pPr>
            <w:r w:rsidRPr="00B419A6">
              <w:rPr>
                <w:rFonts w:asciiTheme="majorHAnsi" w:hAnsiTheme="majorHAnsi"/>
              </w:rPr>
              <w:t>UK</w:t>
            </w:r>
          </w:p>
        </w:tc>
        <w:tc>
          <w:tcPr>
            <w:tcW w:w="1761" w:type="dxa"/>
          </w:tcPr>
          <w:p w14:paraId="2594D392" w14:textId="77777777" w:rsidR="004C75A2" w:rsidRPr="00B419A6" w:rsidRDefault="004C75A2" w:rsidP="00557FA0">
            <w:pPr>
              <w:rPr>
                <w:rFonts w:asciiTheme="majorHAnsi" w:hAnsiTheme="majorHAnsi"/>
              </w:rPr>
            </w:pPr>
            <w:r w:rsidRPr="00B419A6">
              <w:rPr>
                <w:rFonts w:asciiTheme="majorHAnsi" w:hAnsiTheme="majorHAnsi"/>
              </w:rPr>
              <w:t>Case Series</w:t>
            </w:r>
          </w:p>
        </w:tc>
        <w:tc>
          <w:tcPr>
            <w:tcW w:w="1181" w:type="dxa"/>
          </w:tcPr>
          <w:p w14:paraId="59855D02" w14:textId="77777777" w:rsidR="004C75A2" w:rsidRPr="00B419A6" w:rsidRDefault="004C75A2" w:rsidP="00557FA0">
            <w:pPr>
              <w:rPr>
                <w:rFonts w:asciiTheme="majorHAnsi" w:hAnsiTheme="majorHAnsi"/>
              </w:rPr>
            </w:pPr>
            <w:r w:rsidRPr="00B419A6">
              <w:rPr>
                <w:rFonts w:asciiTheme="majorHAnsi" w:hAnsiTheme="majorHAnsi"/>
              </w:rPr>
              <w:t>28</w:t>
            </w:r>
          </w:p>
        </w:tc>
        <w:tc>
          <w:tcPr>
            <w:tcW w:w="3233" w:type="dxa"/>
          </w:tcPr>
          <w:p w14:paraId="6C4DEED0" w14:textId="77777777" w:rsidR="004C75A2" w:rsidRPr="00B419A6" w:rsidRDefault="004C75A2" w:rsidP="00557FA0">
            <w:pPr>
              <w:rPr>
                <w:rFonts w:asciiTheme="majorHAnsi" w:hAnsiTheme="majorHAnsi"/>
              </w:rPr>
            </w:pPr>
            <w:r w:rsidRPr="00B419A6">
              <w:rPr>
                <w:rFonts w:asciiTheme="majorHAnsi" w:hAnsiTheme="majorHAnsi"/>
              </w:rPr>
              <w:t>Sig symptom and cost reduction</w:t>
            </w:r>
          </w:p>
        </w:tc>
      </w:tr>
      <w:tr w:rsidR="004C75A2" w:rsidRPr="00B419A6" w14:paraId="4A6F1BD5" w14:textId="77777777" w:rsidTr="00557FA0">
        <w:tc>
          <w:tcPr>
            <w:tcW w:w="2376" w:type="dxa"/>
          </w:tcPr>
          <w:p w14:paraId="2C528FD1" w14:textId="77777777" w:rsidR="004C75A2" w:rsidRPr="00B419A6" w:rsidRDefault="004C75A2" w:rsidP="00557FA0">
            <w:pPr>
              <w:rPr>
                <w:rFonts w:asciiTheme="majorHAnsi" w:hAnsiTheme="majorHAnsi"/>
              </w:rPr>
            </w:pPr>
            <w:r w:rsidRPr="00B419A6">
              <w:rPr>
                <w:rFonts w:asciiTheme="majorHAnsi" w:hAnsiTheme="majorHAnsi"/>
              </w:rPr>
              <w:t>Chronic Pain (7)</w:t>
            </w:r>
          </w:p>
        </w:tc>
        <w:tc>
          <w:tcPr>
            <w:tcW w:w="1594" w:type="dxa"/>
          </w:tcPr>
          <w:p w14:paraId="76640F67" w14:textId="77777777" w:rsidR="004C75A2" w:rsidRPr="00B419A6" w:rsidRDefault="004C75A2" w:rsidP="00557FA0">
            <w:pPr>
              <w:rPr>
                <w:rFonts w:asciiTheme="majorHAnsi" w:hAnsiTheme="majorHAnsi"/>
              </w:rPr>
            </w:pPr>
            <w:r w:rsidRPr="00B419A6">
              <w:rPr>
                <w:rFonts w:asciiTheme="majorHAnsi" w:hAnsiTheme="majorHAnsi"/>
              </w:rPr>
              <w:t>Iran</w:t>
            </w:r>
          </w:p>
        </w:tc>
        <w:tc>
          <w:tcPr>
            <w:tcW w:w="1761" w:type="dxa"/>
          </w:tcPr>
          <w:p w14:paraId="77AFD162" w14:textId="77777777" w:rsidR="004C75A2" w:rsidRPr="00B419A6" w:rsidRDefault="004C75A2" w:rsidP="00557FA0">
            <w:pPr>
              <w:rPr>
                <w:rFonts w:asciiTheme="majorHAnsi" w:hAnsiTheme="majorHAnsi"/>
              </w:rPr>
            </w:pPr>
            <w:r w:rsidRPr="00B419A6">
              <w:rPr>
                <w:rFonts w:asciiTheme="majorHAnsi" w:hAnsiTheme="majorHAnsi"/>
              </w:rPr>
              <w:t xml:space="preserve">RCT </w:t>
            </w:r>
          </w:p>
        </w:tc>
        <w:tc>
          <w:tcPr>
            <w:tcW w:w="1181" w:type="dxa"/>
          </w:tcPr>
          <w:p w14:paraId="2F009D41" w14:textId="77777777" w:rsidR="004C75A2" w:rsidRPr="00B419A6" w:rsidRDefault="004C75A2" w:rsidP="00557FA0">
            <w:pPr>
              <w:rPr>
                <w:rFonts w:asciiTheme="majorHAnsi" w:hAnsiTheme="majorHAnsi"/>
              </w:rPr>
            </w:pPr>
            <w:r w:rsidRPr="00B419A6">
              <w:rPr>
                <w:rFonts w:asciiTheme="majorHAnsi" w:hAnsiTheme="majorHAnsi"/>
              </w:rPr>
              <w:t>63</w:t>
            </w:r>
          </w:p>
        </w:tc>
        <w:tc>
          <w:tcPr>
            <w:tcW w:w="3233" w:type="dxa"/>
          </w:tcPr>
          <w:p w14:paraId="459D9BCF" w14:textId="77777777" w:rsidR="004C75A2" w:rsidRPr="00B419A6" w:rsidRDefault="004C75A2" w:rsidP="00557FA0">
            <w:pPr>
              <w:rPr>
                <w:rFonts w:asciiTheme="majorHAnsi" w:hAnsiTheme="majorHAnsi"/>
              </w:rPr>
            </w:pPr>
            <w:r w:rsidRPr="00B419A6">
              <w:rPr>
                <w:rFonts w:asciiTheme="majorHAnsi" w:hAnsiTheme="majorHAnsi"/>
              </w:rPr>
              <w:t>ISTDP&gt; Mindfulness Based Stress Reduction and TAU</w:t>
            </w:r>
          </w:p>
        </w:tc>
      </w:tr>
      <w:tr w:rsidR="004C75A2" w:rsidRPr="00B419A6" w14:paraId="2362E5EA" w14:textId="77777777" w:rsidTr="00557FA0">
        <w:tc>
          <w:tcPr>
            <w:tcW w:w="2376" w:type="dxa"/>
          </w:tcPr>
          <w:p w14:paraId="238B86BC" w14:textId="77777777" w:rsidR="004C75A2" w:rsidRPr="00B419A6" w:rsidRDefault="004C75A2" w:rsidP="00557FA0">
            <w:pPr>
              <w:rPr>
                <w:rFonts w:asciiTheme="majorHAnsi" w:hAnsiTheme="majorHAnsi"/>
              </w:rPr>
            </w:pPr>
            <w:r w:rsidRPr="00B419A6">
              <w:rPr>
                <w:rFonts w:asciiTheme="majorHAnsi" w:hAnsiTheme="majorHAnsi"/>
              </w:rPr>
              <w:t>Chronic Pain (8)</w:t>
            </w:r>
          </w:p>
        </w:tc>
        <w:tc>
          <w:tcPr>
            <w:tcW w:w="1594" w:type="dxa"/>
          </w:tcPr>
          <w:p w14:paraId="3ABC914B" w14:textId="77777777" w:rsidR="004C75A2" w:rsidRPr="00B419A6" w:rsidRDefault="004C75A2" w:rsidP="00557FA0">
            <w:pPr>
              <w:rPr>
                <w:rFonts w:asciiTheme="majorHAnsi" w:hAnsiTheme="majorHAnsi"/>
              </w:rPr>
            </w:pPr>
            <w:r w:rsidRPr="00B419A6">
              <w:rPr>
                <w:rFonts w:asciiTheme="majorHAnsi" w:hAnsiTheme="majorHAnsi"/>
              </w:rPr>
              <w:t>Iran</w:t>
            </w:r>
          </w:p>
        </w:tc>
        <w:tc>
          <w:tcPr>
            <w:tcW w:w="1761" w:type="dxa"/>
          </w:tcPr>
          <w:p w14:paraId="6F1ED085" w14:textId="77777777" w:rsidR="004C75A2" w:rsidRPr="00B419A6" w:rsidRDefault="004C75A2" w:rsidP="00557FA0">
            <w:pPr>
              <w:rPr>
                <w:rFonts w:asciiTheme="majorHAnsi" w:hAnsiTheme="majorHAnsi"/>
              </w:rPr>
            </w:pPr>
            <w:r w:rsidRPr="00B419A6">
              <w:rPr>
                <w:rFonts w:asciiTheme="majorHAnsi" w:hAnsiTheme="majorHAnsi"/>
              </w:rPr>
              <w:t xml:space="preserve">RCT </w:t>
            </w:r>
          </w:p>
        </w:tc>
        <w:tc>
          <w:tcPr>
            <w:tcW w:w="1181" w:type="dxa"/>
          </w:tcPr>
          <w:p w14:paraId="0C327C33" w14:textId="77777777" w:rsidR="004C75A2" w:rsidRPr="00B419A6" w:rsidRDefault="004C75A2" w:rsidP="00557FA0">
            <w:pPr>
              <w:rPr>
                <w:rFonts w:asciiTheme="majorHAnsi" w:hAnsiTheme="majorHAnsi"/>
              </w:rPr>
            </w:pPr>
            <w:r w:rsidRPr="00B419A6">
              <w:rPr>
                <w:rFonts w:asciiTheme="majorHAnsi" w:hAnsiTheme="majorHAnsi"/>
              </w:rPr>
              <w:t>81</w:t>
            </w:r>
          </w:p>
        </w:tc>
        <w:tc>
          <w:tcPr>
            <w:tcW w:w="3233" w:type="dxa"/>
          </w:tcPr>
          <w:p w14:paraId="07D36A00" w14:textId="77777777" w:rsidR="004C75A2" w:rsidRPr="00B419A6" w:rsidRDefault="004C75A2" w:rsidP="00557FA0">
            <w:pPr>
              <w:rPr>
                <w:rFonts w:asciiTheme="majorHAnsi" w:hAnsiTheme="majorHAnsi"/>
              </w:rPr>
            </w:pPr>
            <w:r w:rsidRPr="00B419A6">
              <w:rPr>
                <w:rFonts w:asciiTheme="majorHAnsi" w:hAnsiTheme="majorHAnsi"/>
              </w:rPr>
              <w:t>ISTDP in person &gt; Skype</w:t>
            </w:r>
          </w:p>
          <w:p w14:paraId="549641B0" w14:textId="77777777" w:rsidR="004C75A2" w:rsidRPr="00B419A6" w:rsidRDefault="004C75A2" w:rsidP="00557FA0">
            <w:pPr>
              <w:rPr>
                <w:rFonts w:asciiTheme="majorHAnsi" w:hAnsiTheme="majorHAnsi"/>
              </w:rPr>
            </w:pPr>
          </w:p>
        </w:tc>
      </w:tr>
      <w:tr w:rsidR="004C75A2" w:rsidRPr="00B419A6" w14:paraId="36BE50E1" w14:textId="77777777" w:rsidTr="00557FA0">
        <w:tc>
          <w:tcPr>
            <w:tcW w:w="2376" w:type="dxa"/>
          </w:tcPr>
          <w:p w14:paraId="241B07D8" w14:textId="77777777" w:rsidR="004C75A2" w:rsidRPr="00B419A6" w:rsidRDefault="004C75A2" w:rsidP="00557FA0">
            <w:pPr>
              <w:rPr>
                <w:rFonts w:asciiTheme="majorHAnsi" w:hAnsiTheme="majorHAnsi"/>
              </w:rPr>
            </w:pPr>
            <w:r w:rsidRPr="00B419A6">
              <w:rPr>
                <w:rFonts w:asciiTheme="majorHAnsi" w:hAnsiTheme="majorHAnsi"/>
              </w:rPr>
              <w:t>Chronic Pain (9)</w:t>
            </w:r>
          </w:p>
        </w:tc>
        <w:tc>
          <w:tcPr>
            <w:tcW w:w="1594" w:type="dxa"/>
          </w:tcPr>
          <w:p w14:paraId="3C08A809" w14:textId="77777777" w:rsidR="004C75A2" w:rsidRPr="00B419A6" w:rsidRDefault="004C75A2" w:rsidP="00557FA0">
            <w:pPr>
              <w:rPr>
                <w:rFonts w:asciiTheme="majorHAnsi" w:hAnsiTheme="majorHAnsi"/>
              </w:rPr>
            </w:pPr>
            <w:r w:rsidRPr="00B419A6">
              <w:rPr>
                <w:rFonts w:asciiTheme="majorHAnsi" w:hAnsiTheme="majorHAnsi"/>
              </w:rPr>
              <w:t>Iran</w:t>
            </w:r>
          </w:p>
        </w:tc>
        <w:tc>
          <w:tcPr>
            <w:tcW w:w="1761" w:type="dxa"/>
          </w:tcPr>
          <w:p w14:paraId="33232E72" w14:textId="77777777" w:rsidR="004C75A2" w:rsidRPr="00B419A6" w:rsidRDefault="004C75A2" w:rsidP="00557FA0">
            <w:pPr>
              <w:rPr>
                <w:rFonts w:asciiTheme="majorHAnsi" w:hAnsiTheme="majorHAnsi"/>
              </w:rPr>
            </w:pPr>
            <w:r w:rsidRPr="00B419A6">
              <w:rPr>
                <w:rFonts w:asciiTheme="majorHAnsi" w:hAnsiTheme="majorHAnsi"/>
              </w:rPr>
              <w:t xml:space="preserve">RCT </w:t>
            </w:r>
          </w:p>
        </w:tc>
        <w:tc>
          <w:tcPr>
            <w:tcW w:w="1181" w:type="dxa"/>
          </w:tcPr>
          <w:p w14:paraId="67B9A8B3" w14:textId="77777777" w:rsidR="004C75A2" w:rsidRPr="00B419A6" w:rsidRDefault="004C75A2" w:rsidP="00557FA0">
            <w:pPr>
              <w:rPr>
                <w:rFonts w:asciiTheme="majorHAnsi" w:hAnsiTheme="majorHAnsi"/>
              </w:rPr>
            </w:pPr>
            <w:r w:rsidRPr="00B419A6">
              <w:rPr>
                <w:rFonts w:asciiTheme="majorHAnsi" w:hAnsiTheme="majorHAnsi"/>
              </w:rPr>
              <w:t>100</w:t>
            </w:r>
          </w:p>
        </w:tc>
        <w:tc>
          <w:tcPr>
            <w:tcW w:w="3233" w:type="dxa"/>
          </w:tcPr>
          <w:p w14:paraId="5889BA56" w14:textId="77777777" w:rsidR="004C75A2" w:rsidRPr="00B419A6" w:rsidRDefault="004C75A2" w:rsidP="00557FA0">
            <w:pPr>
              <w:rPr>
                <w:rFonts w:asciiTheme="majorHAnsi" w:hAnsiTheme="majorHAnsi"/>
              </w:rPr>
            </w:pPr>
            <w:r w:rsidRPr="00B419A6">
              <w:rPr>
                <w:rFonts w:asciiTheme="majorHAnsi" w:hAnsiTheme="majorHAnsi"/>
              </w:rPr>
              <w:t>ISTDP by Skype &gt; TAU</w:t>
            </w:r>
          </w:p>
        </w:tc>
      </w:tr>
      <w:tr w:rsidR="004C75A2" w:rsidRPr="00B419A6" w14:paraId="0084D502" w14:textId="77777777" w:rsidTr="00557FA0">
        <w:tc>
          <w:tcPr>
            <w:tcW w:w="2376" w:type="dxa"/>
          </w:tcPr>
          <w:p w14:paraId="3E31A733" w14:textId="77777777" w:rsidR="004C75A2" w:rsidRPr="00B419A6" w:rsidRDefault="004C75A2" w:rsidP="00557FA0">
            <w:pPr>
              <w:rPr>
                <w:rFonts w:asciiTheme="majorHAnsi" w:hAnsiTheme="majorHAnsi"/>
              </w:rPr>
            </w:pPr>
            <w:r w:rsidRPr="00B419A6">
              <w:rPr>
                <w:rFonts w:asciiTheme="majorHAnsi" w:hAnsiTheme="majorHAnsi"/>
              </w:rPr>
              <w:t>Irritable Bowel Syndrome (10)</w:t>
            </w:r>
          </w:p>
        </w:tc>
        <w:tc>
          <w:tcPr>
            <w:tcW w:w="1594" w:type="dxa"/>
          </w:tcPr>
          <w:p w14:paraId="11E812BE" w14:textId="77777777" w:rsidR="004C75A2" w:rsidRPr="00B419A6" w:rsidRDefault="004C75A2" w:rsidP="00557FA0">
            <w:pPr>
              <w:rPr>
                <w:rFonts w:asciiTheme="majorHAnsi" w:hAnsiTheme="majorHAnsi"/>
              </w:rPr>
            </w:pPr>
            <w:r w:rsidRPr="00B419A6">
              <w:rPr>
                <w:rFonts w:asciiTheme="majorHAnsi" w:hAnsiTheme="majorHAnsi"/>
              </w:rPr>
              <w:t>UK</w:t>
            </w:r>
          </w:p>
        </w:tc>
        <w:tc>
          <w:tcPr>
            <w:tcW w:w="1761" w:type="dxa"/>
          </w:tcPr>
          <w:p w14:paraId="0F23B3E1" w14:textId="77777777" w:rsidR="004C75A2" w:rsidRPr="00B419A6" w:rsidRDefault="004C75A2" w:rsidP="00557FA0">
            <w:pPr>
              <w:rPr>
                <w:rFonts w:asciiTheme="majorHAnsi" w:hAnsiTheme="majorHAnsi"/>
              </w:rPr>
            </w:pPr>
            <w:r w:rsidRPr="00B419A6">
              <w:rPr>
                <w:rFonts w:asciiTheme="majorHAnsi" w:hAnsiTheme="majorHAnsi"/>
              </w:rPr>
              <w:t xml:space="preserve">RCT </w:t>
            </w:r>
          </w:p>
        </w:tc>
        <w:tc>
          <w:tcPr>
            <w:tcW w:w="1181" w:type="dxa"/>
          </w:tcPr>
          <w:p w14:paraId="67B882B2" w14:textId="77777777" w:rsidR="004C75A2" w:rsidRPr="00B419A6" w:rsidRDefault="004C75A2" w:rsidP="00557FA0">
            <w:pPr>
              <w:rPr>
                <w:rFonts w:asciiTheme="majorHAnsi" w:hAnsiTheme="majorHAnsi"/>
              </w:rPr>
            </w:pPr>
            <w:r w:rsidRPr="00B419A6">
              <w:rPr>
                <w:rFonts w:asciiTheme="majorHAnsi" w:hAnsiTheme="majorHAnsi"/>
              </w:rPr>
              <w:t>102</w:t>
            </w:r>
          </w:p>
        </w:tc>
        <w:tc>
          <w:tcPr>
            <w:tcW w:w="3233" w:type="dxa"/>
          </w:tcPr>
          <w:p w14:paraId="2C7ADD34" w14:textId="77777777" w:rsidR="004C75A2" w:rsidRPr="00B419A6" w:rsidRDefault="004C75A2" w:rsidP="00557FA0">
            <w:pPr>
              <w:rPr>
                <w:rFonts w:asciiTheme="majorHAnsi" w:hAnsiTheme="majorHAnsi"/>
              </w:rPr>
            </w:pPr>
            <w:r w:rsidRPr="00B419A6">
              <w:rPr>
                <w:rFonts w:asciiTheme="majorHAnsi" w:hAnsiTheme="majorHAnsi"/>
              </w:rPr>
              <w:t xml:space="preserve">ISTDP &gt; Medical TAU </w:t>
            </w:r>
          </w:p>
        </w:tc>
      </w:tr>
      <w:tr w:rsidR="004C75A2" w:rsidRPr="00B419A6" w14:paraId="4A51CC2C" w14:textId="77777777" w:rsidTr="00557FA0">
        <w:tc>
          <w:tcPr>
            <w:tcW w:w="2376" w:type="dxa"/>
          </w:tcPr>
          <w:p w14:paraId="02EC5B49" w14:textId="77777777" w:rsidR="004C75A2" w:rsidRPr="00B419A6" w:rsidRDefault="004C75A2" w:rsidP="00557FA0">
            <w:pPr>
              <w:rPr>
                <w:rFonts w:asciiTheme="majorHAnsi" w:hAnsiTheme="majorHAnsi"/>
              </w:rPr>
            </w:pPr>
            <w:r w:rsidRPr="00B419A6">
              <w:rPr>
                <w:rFonts w:asciiTheme="majorHAnsi" w:hAnsiTheme="majorHAnsi"/>
              </w:rPr>
              <w:t>MUS in Emergency (11)</w:t>
            </w:r>
          </w:p>
        </w:tc>
        <w:tc>
          <w:tcPr>
            <w:tcW w:w="1594" w:type="dxa"/>
          </w:tcPr>
          <w:p w14:paraId="4076C3C8" w14:textId="77777777" w:rsidR="004C75A2" w:rsidRPr="00B419A6" w:rsidRDefault="004C75A2" w:rsidP="00557FA0">
            <w:pPr>
              <w:rPr>
                <w:rFonts w:asciiTheme="majorHAnsi" w:hAnsiTheme="majorHAnsi"/>
              </w:rPr>
            </w:pPr>
            <w:r w:rsidRPr="00B419A6">
              <w:rPr>
                <w:rFonts w:asciiTheme="majorHAnsi" w:hAnsiTheme="majorHAnsi"/>
              </w:rPr>
              <w:t>Canada</w:t>
            </w:r>
          </w:p>
        </w:tc>
        <w:tc>
          <w:tcPr>
            <w:tcW w:w="1761" w:type="dxa"/>
          </w:tcPr>
          <w:p w14:paraId="2741A0D7" w14:textId="77777777" w:rsidR="004C75A2" w:rsidRPr="00B419A6" w:rsidRDefault="004C75A2" w:rsidP="00557FA0">
            <w:pPr>
              <w:rPr>
                <w:rFonts w:asciiTheme="majorHAnsi" w:hAnsiTheme="majorHAnsi"/>
              </w:rPr>
            </w:pPr>
            <w:r w:rsidRPr="00B419A6">
              <w:rPr>
                <w:rFonts w:asciiTheme="majorHAnsi" w:hAnsiTheme="majorHAnsi"/>
              </w:rPr>
              <w:t>Controlled</w:t>
            </w:r>
          </w:p>
        </w:tc>
        <w:tc>
          <w:tcPr>
            <w:tcW w:w="1181" w:type="dxa"/>
          </w:tcPr>
          <w:p w14:paraId="1BC426C8" w14:textId="77777777" w:rsidR="004C75A2" w:rsidRPr="00B419A6" w:rsidRDefault="004C75A2" w:rsidP="00557FA0">
            <w:pPr>
              <w:rPr>
                <w:rFonts w:asciiTheme="majorHAnsi" w:hAnsiTheme="majorHAnsi"/>
              </w:rPr>
            </w:pPr>
            <w:r w:rsidRPr="00B419A6">
              <w:rPr>
                <w:rFonts w:asciiTheme="majorHAnsi" w:hAnsiTheme="majorHAnsi"/>
              </w:rPr>
              <w:t>77</w:t>
            </w:r>
          </w:p>
        </w:tc>
        <w:tc>
          <w:tcPr>
            <w:tcW w:w="3233" w:type="dxa"/>
          </w:tcPr>
          <w:p w14:paraId="4F1095DB" w14:textId="77777777" w:rsidR="004C75A2" w:rsidRPr="00B419A6" w:rsidRDefault="004C75A2" w:rsidP="00557FA0">
            <w:pPr>
              <w:rPr>
                <w:rFonts w:asciiTheme="majorHAnsi" w:hAnsiTheme="majorHAnsi"/>
              </w:rPr>
            </w:pPr>
            <w:r w:rsidRPr="00B419A6">
              <w:rPr>
                <w:rFonts w:asciiTheme="majorHAnsi" w:hAnsiTheme="majorHAnsi"/>
              </w:rPr>
              <w:t xml:space="preserve">Sig reduction </w:t>
            </w:r>
            <w:proofErr w:type="gramStart"/>
            <w:r w:rsidRPr="00B419A6">
              <w:rPr>
                <w:rFonts w:asciiTheme="majorHAnsi" w:hAnsiTheme="majorHAnsi"/>
              </w:rPr>
              <w:t>pre post</w:t>
            </w:r>
            <w:proofErr w:type="gramEnd"/>
            <w:r w:rsidRPr="00B419A6">
              <w:rPr>
                <w:rFonts w:asciiTheme="majorHAnsi" w:hAnsiTheme="majorHAnsi"/>
              </w:rPr>
              <w:t xml:space="preserve"> and vs </w:t>
            </w:r>
            <w:r>
              <w:rPr>
                <w:rFonts w:asciiTheme="majorHAnsi" w:hAnsiTheme="majorHAnsi"/>
              </w:rPr>
              <w:t xml:space="preserve">referred </w:t>
            </w:r>
            <w:r w:rsidRPr="00B419A6">
              <w:rPr>
                <w:rFonts w:asciiTheme="majorHAnsi" w:hAnsiTheme="majorHAnsi"/>
              </w:rPr>
              <w:t>control</w:t>
            </w:r>
          </w:p>
        </w:tc>
      </w:tr>
      <w:tr w:rsidR="004C75A2" w:rsidRPr="00B419A6" w14:paraId="6BA29DD1" w14:textId="77777777" w:rsidTr="00557FA0">
        <w:tc>
          <w:tcPr>
            <w:tcW w:w="2376" w:type="dxa"/>
          </w:tcPr>
          <w:p w14:paraId="3F12971D" w14:textId="77777777" w:rsidR="004C75A2" w:rsidRPr="00B419A6" w:rsidRDefault="004C75A2" w:rsidP="00557FA0">
            <w:pPr>
              <w:rPr>
                <w:rFonts w:asciiTheme="majorHAnsi" w:hAnsiTheme="majorHAnsi"/>
              </w:rPr>
            </w:pPr>
            <w:r w:rsidRPr="00B419A6">
              <w:rPr>
                <w:rFonts w:asciiTheme="majorHAnsi" w:hAnsiTheme="majorHAnsi"/>
              </w:rPr>
              <w:t>Mixed MUS + (12)</w:t>
            </w:r>
          </w:p>
        </w:tc>
        <w:tc>
          <w:tcPr>
            <w:tcW w:w="1594" w:type="dxa"/>
          </w:tcPr>
          <w:p w14:paraId="473C194A" w14:textId="77777777" w:rsidR="004C75A2" w:rsidRPr="00B419A6" w:rsidRDefault="004C75A2" w:rsidP="00557FA0">
            <w:pPr>
              <w:rPr>
                <w:rFonts w:asciiTheme="majorHAnsi" w:hAnsiTheme="majorHAnsi"/>
              </w:rPr>
            </w:pPr>
            <w:r w:rsidRPr="00B419A6">
              <w:rPr>
                <w:rFonts w:asciiTheme="majorHAnsi" w:hAnsiTheme="majorHAnsi"/>
              </w:rPr>
              <w:t>Canada</w:t>
            </w:r>
          </w:p>
        </w:tc>
        <w:tc>
          <w:tcPr>
            <w:tcW w:w="1761" w:type="dxa"/>
          </w:tcPr>
          <w:p w14:paraId="67A2F8FB" w14:textId="77777777" w:rsidR="004C75A2" w:rsidRPr="00B419A6" w:rsidRDefault="004C75A2" w:rsidP="00557FA0">
            <w:pPr>
              <w:rPr>
                <w:rFonts w:asciiTheme="majorHAnsi" w:hAnsiTheme="majorHAnsi"/>
              </w:rPr>
            </w:pPr>
            <w:r w:rsidRPr="00B419A6">
              <w:rPr>
                <w:rFonts w:asciiTheme="majorHAnsi" w:hAnsiTheme="majorHAnsi"/>
              </w:rPr>
              <w:t>Controlled</w:t>
            </w:r>
          </w:p>
        </w:tc>
        <w:tc>
          <w:tcPr>
            <w:tcW w:w="1181" w:type="dxa"/>
          </w:tcPr>
          <w:p w14:paraId="7236B1DD" w14:textId="77777777" w:rsidR="004C75A2" w:rsidRPr="00B419A6" w:rsidRDefault="004C75A2" w:rsidP="00557FA0">
            <w:pPr>
              <w:rPr>
                <w:rFonts w:asciiTheme="majorHAnsi" w:hAnsiTheme="majorHAnsi"/>
              </w:rPr>
            </w:pPr>
            <w:r w:rsidRPr="00B419A6">
              <w:rPr>
                <w:rFonts w:asciiTheme="majorHAnsi" w:hAnsiTheme="majorHAnsi"/>
              </w:rPr>
              <w:t>890</w:t>
            </w:r>
          </w:p>
        </w:tc>
        <w:tc>
          <w:tcPr>
            <w:tcW w:w="3233" w:type="dxa"/>
          </w:tcPr>
          <w:p w14:paraId="37524EB7" w14:textId="77777777" w:rsidR="004C75A2" w:rsidRPr="00B419A6" w:rsidRDefault="004C75A2" w:rsidP="00557FA0">
            <w:pPr>
              <w:rPr>
                <w:rFonts w:asciiTheme="majorHAnsi" w:hAnsiTheme="majorHAnsi"/>
              </w:rPr>
            </w:pPr>
            <w:r w:rsidRPr="00B419A6">
              <w:rPr>
                <w:rFonts w:asciiTheme="majorHAnsi" w:hAnsiTheme="majorHAnsi"/>
              </w:rPr>
              <w:t>Sig health cost and symptom reduction</w:t>
            </w:r>
            <w:r>
              <w:rPr>
                <w:rFonts w:asciiTheme="majorHAnsi" w:hAnsiTheme="majorHAnsi"/>
              </w:rPr>
              <w:t xml:space="preserve"> vs referred control</w:t>
            </w:r>
          </w:p>
        </w:tc>
      </w:tr>
      <w:tr w:rsidR="004C75A2" w:rsidRPr="00B419A6" w14:paraId="07347DF4" w14:textId="77777777" w:rsidTr="00557FA0">
        <w:tc>
          <w:tcPr>
            <w:tcW w:w="2376" w:type="dxa"/>
          </w:tcPr>
          <w:p w14:paraId="588D44E0" w14:textId="77777777" w:rsidR="004C75A2" w:rsidRPr="00B419A6" w:rsidRDefault="004C75A2" w:rsidP="00557FA0">
            <w:pPr>
              <w:rPr>
                <w:rFonts w:asciiTheme="majorHAnsi" w:hAnsiTheme="majorHAnsi"/>
              </w:rPr>
            </w:pPr>
            <w:r w:rsidRPr="00B419A6">
              <w:rPr>
                <w:rFonts w:asciiTheme="majorHAnsi" w:hAnsiTheme="majorHAnsi"/>
              </w:rPr>
              <w:t>Atopic Dermatitis (13)</w:t>
            </w:r>
          </w:p>
        </w:tc>
        <w:tc>
          <w:tcPr>
            <w:tcW w:w="1594" w:type="dxa"/>
          </w:tcPr>
          <w:p w14:paraId="3E981938" w14:textId="77777777" w:rsidR="004C75A2" w:rsidRPr="00B419A6" w:rsidRDefault="004C75A2" w:rsidP="00557FA0">
            <w:pPr>
              <w:rPr>
                <w:rFonts w:asciiTheme="majorHAnsi" w:hAnsiTheme="majorHAnsi"/>
              </w:rPr>
            </w:pPr>
            <w:r w:rsidRPr="00B419A6">
              <w:rPr>
                <w:rFonts w:asciiTheme="majorHAnsi" w:hAnsiTheme="majorHAnsi"/>
              </w:rPr>
              <w:t>Denmark</w:t>
            </w:r>
          </w:p>
        </w:tc>
        <w:tc>
          <w:tcPr>
            <w:tcW w:w="1761" w:type="dxa"/>
          </w:tcPr>
          <w:p w14:paraId="6C0C5CFF" w14:textId="77777777" w:rsidR="004C75A2" w:rsidRPr="00B419A6" w:rsidRDefault="004C75A2" w:rsidP="00557FA0">
            <w:pPr>
              <w:rPr>
                <w:rFonts w:asciiTheme="majorHAnsi" w:hAnsiTheme="majorHAnsi"/>
              </w:rPr>
            </w:pPr>
            <w:r w:rsidRPr="00B419A6">
              <w:rPr>
                <w:rFonts w:asciiTheme="majorHAnsi" w:hAnsiTheme="majorHAnsi"/>
              </w:rPr>
              <w:t xml:space="preserve">RCT </w:t>
            </w:r>
          </w:p>
        </w:tc>
        <w:tc>
          <w:tcPr>
            <w:tcW w:w="1181" w:type="dxa"/>
          </w:tcPr>
          <w:p w14:paraId="315892CE" w14:textId="77777777" w:rsidR="004C75A2" w:rsidRPr="00B419A6" w:rsidRDefault="004C75A2" w:rsidP="00557FA0">
            <w:pPr>
              <w:rPr>
                <w:rFonts w:asciiTheme="majorHAnsi" w:hAnsiTheme="majorHAnsi"/>
              </w:rPr>
            </w:pPr>
            <w:r w:rsidRPr="00B419A6">
              <w:rPr>
                <w:rFonts w:asciiTheme="majorHAnsi" w:hAnsiTheme="majorHAnsi"/>
              </w:rPr>
              <w:t>32</w:t>
            </w:r>
          </w:p>
        </w:tc>
        <w:tc>
          <w:tcPr>
            <w:tcW w:w="3233" w:type="dxa"/>
          </w:tcPr>
          <w:p w14:paraId="2E04BF88" w14:textId="77777777" w:rsidR="004C75A2" w:rsidRPr="00B419A6" w:rsidRDefault="004C75A2" w:rsidP="00557FA0">
            <w:pPr>
              <w:rPr>
                <w:rFonts w:asciiTheme="majorHAnsi" w:hAnsiTheme="majorHAnsi"/>
              </w:rPr>
            </w:pPr>
            <w:r w:rsidRPr="00B419A6">
              <w:rPr>
                <w:rFonts w:asciiTheme="majorHAnsi" w:hAnsiTheme="majorHAnsi"/>
              </w:rPr>
              <w:t>ISTDP&gt; Ctrl in Anxious Cases</w:t>
            </w:r>
          </w:p>
        </w:tc>
      </w:tr>
      <w:tr w:rsidR="004C75A2" w:rsidRPr="00B419A6" w14:paraId="419B93B8" w14:textId="77777777" w:rsidTr="00557FA0">
        <w:tc>
          <w:tcPr>
            <w:tcW w:w="2376" w:type="dxa"/>
          </w:tcPr>
          <w:p w14:paraId="03D0C04D" w14:textId="77777777" w:rsidR="004C75A2" w:rsidRPr="00B419A6" w:rsidRDefault="004C75A2" w:rsidP="00557FA0">
            <w:pPr>
              <w:rPr>
                <w:rFonts w:asciiTheme="majorHAnsi" w:hAnsiTheme="majorHAnsi"/>
              </w:rPr>
            </w:pPr>
            <w:r w:rsidRPr="00B419A6">
              <w:rPr>
                <w:rFonts w:asciiTheme="majorHAnsi" w:hAnsiTheme="majorHAnsi"/>
              </w:rPr>
              <w:t>Bruxism (14)</w:t>
            </w:r>
          </w:p>
        </w:tc>
        <w:tc>
          <w:tcPr>
            <w:tcW w:w="1594" w:type="dxa"/>
          </w:tcPr>
          <w:p w14:paraId="7A6E0876" w14:textId="77777777" w:rsidR="004C75A2" w:rsidRPr="00B419A6" w:rsidRDefault="004C75A2" w:rsidP="00557FA0">
            <w:pPr>
              <w:rPr>
                <w:rFonts w:asciiTheme="majorHAnsi" w:hAnsiTheme="majorHAnsi"/>
              </w:rPr>
            </w:pPr>
            <w:r w:rsidRPr="00B419A6">
              <w:rPr>
                <w:rFonts w:asciiTheme="majorHAnsi" w:hAnsiTheme="majorHAnsi"/>
              </w:rPr>
              <w:t>Italy</w:t>
            </w:r>
          </w:p>
        </w:tc>
        <w:tc>
          <w:tcPr>
            <w:tcW w:w="1761" w:type="dxa"/>
          </w:tcPr>
          <w:p w14:paraId="6A478370" w14:textId="77777777" w:rsidR="004C75A2" w:rsidRPr="00B419A6" w:rsidRDefault="004C75A2" w:rsidP="00557FA0">
            <w:pPr>
              <w:rPr>
                <w:rFonts w:asciiTheme="majorHAnsi" w:hAnsiTheme="majorHAnsi"/>
              </w:rPr>
            </w:pPr>
            <w:r w:rsidRPr="00B419A6">
              <w:rPr>
                <w:rFonts w:asciiTheme="majorHAnsi" w:hAnsiTheme="majorHAnsi"/>
              </w:rPr>
              <w:t>RCT In Progress</w:t>
            </w:r>
          </w:p>
        </w:tc>
        <w:tc>
          <w:tcPr>
            <w:tcW w:w="1181" w:type="dxa"/>
          </w:tcPr>
          <w:p w14:paraId="548A412B" w14:textId="77777777" w:rsidR="004C75A2" w:rsidRPr="00B419A6" w:rsidRDefault="004C75A2" w:rsidP="00557FA0">
            <w:pPr>
              <w:rPr>
                <w:rFonts w:asciiTheme="majorHAnsi" w:hAnsiTheme="majorHAnsi"/>
              </w:rPr>
            </w:pPr>
          </w:p>
        </w:tc>
        <w:tc>
          <w:tcPr>
            <w:tcW w:w="3233" w:type="dxa"/>
          </w:tcPr>
          <w:p w14:paraId="56F2F486" w14:textId="77777777" w:rsidR="004C75A2" w:rsidRPr="00B419A6" w:rsidRDefault="004C75A2" w:rsidP="00557FA0">
            <w:pPr>
              <w:rPr>
                <w:rFonts w:asciiTheme="majorHAnsi" w:hAnsiTheme="majorHAnsi"/>
              </w:rPr>
            </w:pPr>
          </w:p>
        </w:tc>
      </w:tr>
      <w:tr w:rsidR="004C75A2" w:rsidRPr="00B419A6" w14:paraId="4AE7E200" w14:textId="77777777" w:rsidTr="00557FA0">
        <w:tc>
          <w:tcPr>
            <w:tcW w:w="2376" w:type="dxa"/>
          </w:tcPr>
          <w:p w14:paraId="087EC7EC" w14:textId="77777777" w:rsidR="004C75A2" w:rsidRPr="009C4A76" w:rsidRDefault="004C75A2" w:rsidP="00557FA0">
            <w:pPr>
              <w:rPr>
                <w:rFonts w:asciiTheme="majorHAnsi" w:hAnsiTheme="majorHAnsi"/>
              </w:rPr>
            </w:pPr>
            <w:r w:rsidRPr="009C4A76">
              <w:rPr>
                <w:rFonts w:asciiTheme="majorHAnsi" w:hAnsiTheme="majorHAnsi"/>
              </w:rPr>
              <w:t>Functional Neurological (15)</w:t>
            </w:r>
          </w:p>
        </w:tc>
        <w:tc>
          <w:tcPr>
            <w:tcW w:w="1594" w:type="dxa"/>
          </w:tcPr>
          <w:p w14:paraId="02C8668E" w14:textId="77777777" w:rsidR="004C75A2" w:rsidRPr="009C4A76" w:rsidRDefault="004C75A2" w:rsidP="00557FA0">
            <w:pPr>
              <w:rPr>
                <w:rFonts w:asciiTheme="majorHAnsi" w:hAnsiTheme="majorHAnsi"/>
              </w:rPr>
            </w:pPr>
            <w:r w:rsidRPr="009C4A76">
              <w:rPr>
                <w:rFonts w:asciiTheme="majorHAnsi" w:hAnsiTheme="majorHAnsi"/>
              </w:rPr>
              <w:t>UK</w:t>
            </w:r>
          </w:p>
        </w:tc>
        <w:tc>
          <w:tcPr>
            <w:tcW w:w="1761" w:type="dxa"/>
          </w:tcPr>
          <w:p w14:paraId="5D130371" w14:textId="77777777" w:rsidR="004C75A2" w:rsidRPr="009C4A76" w:rsidRDefault="004C75A2" w:rsidP="00557FA0">
            <w:pPr>
              <w:rPr>
                <w:rFonts w:asciiTheme="majorHAnsi" w:hAnsiTheme="majorHAnsi"/>
              </w:rPr>
            </w:pPr>
            <w:r w:rsidRPr="009C4A76">
              <w:rPr>
                <w:rFonts w:asciiTheme="majorHAnsi" w:hAnsiTheme="majorHAnsi"/>
              </w:rPr>
              <w:t>Case Series</w:t>
            </w:r>
          </w:p>
        </w:tc>
        <w:tc>
          <w:tcPr>
            <w:tcW w:w="1181" w:type="dxa"/>
          </w:tcPr>
          <w:p w14:paraId="3D77E630" w14:textId="77777777" w:rsidR="004C75A2" w:rsidRPr="009C4A76" w:rsidRDefault="004C75A2" w:rsidP="00557FA0">
            <w:pPr>
              <w:rPr>
                <w:rFonts w:asciiTheme="majorHAnsi" w:hAnsiTheme="majorHAnsi"/>
              </w:rPr>
            </w:pPr>
            <w:r w:rsidRPr="009C4A76">
              <w:rPr>
                <w:rFonts w:asciiTheme="majorHAnsi" w:hAnsiTheme="majorHAnsi"/>
              </w:rPr>
              <w:t>11</w:t>
            </w:r>
          </w:p>
        </w:tc>
        <w:tc>
          <w:tcPr>
            <w:tcW w:w="3233" w:type="dxa"/>
          </w:tcPr>
          <w:p w14:paraId="3BC68BA4" w14:textId="77777777" w:rsidR="004C75A2" w:rsidRPr="009C4A76" w:rsidRDefault="004C75A2" w:rsidP="00557FA0">
            <w:pPr>
              <w:rPr>
                <w:rFonts w:asciiTheme="majorHAnsi" w:hAnsiTheme="majorHAnsi"/>
              </w:rPr>
            </w:pPr>
            <w:r w:rsidRPr="009C4A76">
              <w:rPr>
                <w:rFonts w:asciiTheme="majorHAnsi" w:hAnsiTheme="majorHAnsi"/>
              </w:rPr>
              <w:t>Improvement on multiple domains</w:t>
            </w:r>
          </w:p>
        </w:tc>
      </w:tr>
      <w:tr w:rsidR="004C75A2" w:rsidRPr="00B419A6" w14:paraId="1E29231E" w14:textId="77777777" w:rsidTr="00557FA0">
        <w:tc>
          <w:tcPr>
            <w:tcW w:w="2376" w:type="dxa"/>
          </w:tcPr>
          <w:p w14:paraId="3CD60885" w14:textId="77777777" w:rsidR="004C75A2" w:rsidRPr="009C4A76" w:rsidRDefault="004C75A2" w:rsidP="00557FA0">
            <w:pPr>
              <w:rPr>
                <w:rFonts w:asciiTheme="majorHAnsi" w:hAnsiTheme="majorHAnsi"/>
              </w:rPr>
            </w:pPr>
            <w:r w:rsidRPr="009C4A76">
              <w:rPr>
                <w:rFonts w:asciiTheme="majorHAnsi" w:hAnsiTheme="majorHAnsi" w:cstheme="majorHAnsi"/>
              </w:rPr>
              <w:t>Mixed MUS in Family Practice (16)</w:t>
            </w:r>
          </w:p>
        </w:tc>
        <w:tc>
          <w:tcPr>
            <w:tcW w:w="1594" w:type="dxa"/>
          </w:tcPr>
          <w:p w14:paraId="7A11AD15" w14:textId="77777777" w:rsidR="004C75A2" w:rsidRPr="009C4A76" w:rsidRDefault="004C75A2" w:rsidP="00557FA0">
            <w:pPr>
              <w:rPr>
                <w:rFonts w:asciiTheme="majorHAnsi" w:hAnsiTheme="majorHAnsi"/>
              </w:rPr>
            </w:pPr>
            <w:r w:rsidRPr="009C4A76">
              <w:rPr>
                <w:rFonts w:asciiTheme="majorHAnsi" w:hAnsiTheme="majorHAnsi" w:cstheme="majorHAnsi"/>
              </w:rPr>
              <w:t>Canada</w:t>
            </w:r>
          </w:p>
        </w:tc>
        <w:tc>
          <w:tcPr>
            <w:tcW w:w="1761" w:type="dxa"/>
          </w:tcPr>
          <w:p w14:paraId="1329E582" w14:textId="77777777" w:rsidR="004C75A2" w:rsidRPr="009C4A76" w:rsidRDefault="004C75A2" w:rsidP="00557FA0">
            <w:pPr>
              <w:rPr>
                <w:rFonts w:asciiTheme="majorHAnsi" w:hAnsiTheme="majorHAnsi"/>
              </w:rPr>
            </w:pPr>
            <w:r w:rsidRPr="009C4A76">
              <w:rPr>
                <w:rFonts w:asciiTheme="majorHAnsi" w:hAnsiTheme="majorHAnsi" w:cstheme="majorHAnsi"/>
              </w:rPr>
              <w:t>Case Series</w:t>
            </w:r>
          </w:p>
        </w:tc>
        <w:tc>
          <w:tcPr>
            <w:tcW w:w="1181" w:type="dxa"/>
          </w:tcPr>
          <w:p w14:paraId="49566ED6" w14:textId="77777777" w:rsidR="004C75A2" w:rsidRPr="009C4A76" w:rsidRDefault="004C75A2" w:rsidP="00557FA0">
            <w:pPr>
              <w:rPr>
                <w:rFonts w:asciiTheme="majorHAnsi" w:hAnsiTheme="majorHAnsi"/>
              </w:rPr>
            </w:pPr>
            <w:r w:rsidRPr="009C4A76">
              <w:rPr>
                <w:rFonts w:asciiTheme="majorHAnsi" w:hAnsiTheme="majorHAnsi" w:cstheme="majorHAnsi"/>
              </w:rPr>
              <w:t>37</w:t>
            </w:r>
          </w:p>
        </w:tc>
        <w:tc>
          <w:tcPr>
            <w:tcW w:w="3233" w:type="dxa"/>
          </w:tcPr>
          <w:p w14:paraId="13E6F3F1" w14:textId="77777777" w:rsidR="004C75A2" w:rsidRPr="009C4A76" w:rsidRDefault="004C75A2" w:rsidP="00557FA0">
            <w:pPr>
              <w:rPr>
                <w:rFonts w:asciiTheme="majorHAnsi" w:hAnsiTheme="majorHAnsi"/>
              </w:rPr>
            </w:pPr>
            <w:r w:rsidRPr="009C4A76">
              <w:rPr>
                <w:rFonts w:asciiTheme="majorHAnsi" w:hAnsiTheme="majorHAnsi" w:cstheme="majorHAnsi"/>
              </w:rPr>
              <w:t>Sig symptom improvement</w:t>
            </w:r>
          </w:p>
        </w:tc>
      </w:tr>
      <w:tr w:rsidR="004C75A2" w:rsidRPr="00B419A6" w14:paraId="38FE27CA" w14:textId="77777777" w:rsidTr="00557FA0">
        <w:tc>
          <w:tcPr>
            <w:tcW w:w="2376" w:type="dxa"/>
          </w:tcPr>
          <w:p w14:paraId="2B350314" w14:textId="77777777" w:rsidR="004C75A2" w:rsidRPr="009C4A76" w:rsidRDefault="004C75A2" w:rsidP="00557FA0">
            <w:pPr>
              <w:rPr>
                <w:rFonts w:asciiTheme="majorHAnsi" w:hAnsiTheme="majorHAnsi"/>
              </w:rPr>
            </w:pPr>
            <w:r w:rsidRPr="009C4A76">
              <w:rPr>
                <w:rFonts w:asciiTheme="majorHAnsi" w:hAnsiTheme="majorHAnsi" w:cstheme="majorHAnsi"/>
              </w:rPr>
              <w:t>Chronic Pain (39)</w:t>
            </w:r>
          </w:p>
        </w:tc>
        <w:tc>
          <w:tcPr>
            <w:tcW w:w="1594" w:type="dxa"/>
          </w:tcPr>
          <w:p w14:paraId="2BC3CD31" w14:textId="77777777" w:rsidR="004C75A2" w:rsidRPr="009C4A76" w:rsidRDefault="004C75A2" w:rsidP="00557FA0">
            <w:pPr>
              <w:rPr>
                <w:rFonts w:asciiTheme="majorHAnsi" w:hAnsiTheme="majorHAnsi"/>
              </w:rPr>
            </w:pPr>
            <w:r w:rsidRPr="009C4A76">
              <w:rPr>
                <w:rFonts w:asciiTheme="majorHAnsi" w:hAnsiTheme="majorHAnsi" w:cstheme="majorHAnsi"/>
              </w:rPr>
              <w:t>Iran</w:t>
            </w:r>
          </w:p>
        </w:tc>
        <w:tc>
          <w:tcPr>
            <w:tcW w:w="1761" w:type="dxa"/>
          </w:tcPr>
          <w:p w14:paraId="11A389C0" w14:textId="77777777" w:rsidR="004C75A2" w:rsidRPr="009C4A76" w:rsidRDefault="004C75A2" w:rsidP="00557FA0">
            <w:pPr>
              <w:rPr>
                <w:rFonts w:asciiTheme="majorHAnsi" w:hAnsiTheme="majorHAnsi"/>
              </w:rPr>
            </w:pPr>
            <w:r w:rsidRPr="009C4A76">
              <w:rPr>
                <w:rFonts w:asciiTheme="majorHAnsi" w:hAnsiTheme="majorHAnsi" w:cstheme="majorHAnsi"/>
              </w:rPr>
              <w:t>RCT</w:t>
            </w:r>
          </w:p>
        </w:tc>
        <w:tc>
          <w:tcPr>
            <w:tcW w:w="1181" w:type="dxa"/>
          </w:tcPr>
          <w:p w14:paraId="49E84006" w14:textId="77777777" w:rsidR="004C75A2" w:rsidRPr="009C4A76" w:rsidRDefault="004C75A2" w:rsidP="00557FA0">
            <w:pPr>
              <w:rPr>
                <w:rFonts w:asciiTheme="majorHAnsi" w:hAnsiTheme="majorHAnsi"/>
              </w:rPr>
            </w:pPr>
            <w:r w:rsidRPr="009C4A76">
              <w:rPr>
                <w:rFonts w:asciiTheme="majorHAnsi" w:hAnsiTheme="majorHAnsi" w:cstheme="majorHAnsi"/>
              </w:rPr>
              <w:t>341</w:t>
            </w:r>
          </w:p>
        </w:tc>
        <w:tc>
          <w:tcPr>
            <w:tcW w:w="3233" w:type="dxa"/>
          </w:tcPr>
          <w:p w14:paraId="6DED05A3" w14:textId="77777777" w:rsidR="004C75A2" w:rsidRPr="009C4A76" w:rsidRDefault="004C75A2" w:rsidP="00557FA0">
            <w:pPr>
              <w:rPr>
                <w:rFonts w:asciiTheme="majorHAnsi" w:hAnsiTheme="majorHAnsi"/>
              </w:rPr>
            </w:pPr>
            <w:r w:rsidRPr="009C4A76">
              <w:rPr>
                <w:rFonts w:asciiTheme="majorHAnsi" w:hAnsiTheme="majorHAnsi" w:cstheme="majorHAnsi"/>
              </w:rPr>
              <w:t>Sig symptom effects ISTDP=CBT</w:t>
            </w:r>
          </w:p>
        </w:tc>
      </w:tr>
      <w:tr w:rsidR="004C75A2" w:rsidRPr="00B419A6" w14:paraId="16E0A4F5" w14:textId="77777777" w:rsidTr="00557FA0">
        <w:tc>
          <w:tcPr>
            <w:tcW w:w="2376" w:type="dxa"/>
          </w:tcPr>
          <w:p w14:paraId="094947AE" w14:textId="77777777" w:rsidR="004C75A2" w:rsidRPr="009C4A76" w:rsidRDefault="004C75A2" w:rsidP="00557FA0">
            <w:pPr>
              <w:rPr>
                <w:rFonts w:asciiTheme="majorHAnsi" w:hAnsiTheme="majorHAnsi"/>
              </w:rPr>
            </w:pPr>
            <w:r w:rsidRPr="009C4A76">
              <w:rPr>
                <w:rFonts w:asciiTheme="majorHAnsi" w:hAnsiTheme="majorHAnsi"/>
              </w:rPr>
              <w:t xml:space="preserve">Inflammatory Bowel </w:t>
            </w:r>
            <w:proofErr w:type="gramStart"/>
            <w:r w:rsidRPr="009C4A76">
              <w:rPr>
                <w:rFonts w:asciiTheme="majorHAnsi" w:hAnsiTheme="majorHAnsi"/>
              </w:rPr>
              <w:t>Diseases  (</w:t>
            </w:r>
            <w:proofErr w:type="gramEnd"/>
            <w:r w:rsidRPr="009C4A76">
              <w:rPr>
                <w:rFonts w:asciiTheme="majorHAnsi" w:hAnsiTheme="majorHAnsi"/>
              </w:rPr>
              <w:t>17)</w:t>
            </w:r>
          </w:p>
        </w:tc>
        <w:tc>
          <w:tcPr>
            <w:tcW w:w="1594" w:type="dxa"/>
          </w:tcPr>
          <w:p w14:paraId="5B4F82C6" w14:textId="77777777" w:rsidR="004C75A2" w:rsidRPr="009C4A76" w:rsidRDefault="004C75A2" w:rsidP="00557FA0">
            <w:pPr>
              <w:rPr>
                <w:rFonts w:asciiTheme="majorHAnsi" w:hAnsiTheme="majorHAnsi"/>
              </w:rPr>
            </w:pPr>
            <w:r w:rsidRPr="009C4A76">
              <w:rPr>
                <w:rFonts w:asciiTheme="majorHAnsi" w:hAnsiTheme="majorHAnsi"/>
              </w:rPr>
              <w:t>Australia</w:t>
            </w:r>
          </w:p>
        </w:tc>
        <w:tc>
          <w:tcPr>
            <w:tcW w:w="1761" w:type="dxa"/>
          </w:tcPr>
          <w:p w14:paraId="1458D859" w14:textId="77777777" w:rsidR="004C75A2" w:rsidRPr="009C4A76" w:rsidRDefault="004C75A2" w:rsidP="00557FA0">
            <w:pPr>
              <w:rPr>
                <w:rFonts w:asciiTheme="majorHAnsi" w:hAnsiTheme="majorHAnsi"/>
              </w:rPr>
            </w:pPr>
            <w:r w:rsidRPr="009C4A76">
              <w:rPr>
                <w:rFonts w:asciiTheme="majorHAnsi" w:hAnsiTheme="majorHAnsi"/>
              </w:rPr>
              <w:t>Case Series</w:t>
            </w:r>
          </w:p>
        </w:tc>
        <w:tc>
          <w:tcPr>
            <w:tcW w:w="1181" w:type="dxa"/>
          </w:tcPr>
          <w:p w14:paraId="2F708FD2" w14:textId="77777777" w:rsidR="004C75A2" w:rsidRPr="009C4A76" w:rsidRDefault="004C75A2" w:rsidP="00557FA0">
            <w:pPr>
              <w:rPr>
                <w:rFonts w:asciiTheme="majorHAnsi" w:hAnsiTheme="majorHAnsi"/>
              </w:rPr>
            </w:pPr>
            <w:r w:rsidRPr="009C4A76">
              <w:rPr>
                <w:rFonts w:asciiTheme="majorHAnsi" w:hAnsiTheme="majorHAnsi"/>
              </w:rPr>
              <w:t>7</w:t>
            </w:r>
          </w:p>
        </w:tc>
        <w:tc>
          <w:tcPr>
            <w:tcW w:w="3233" w:type="dxa"/>
          </w:tcPr>
          <w:p w14:paraId="0C4A3BB1" w14:textId="77777777" w:rsidR="004C75A2" w:rsidRPr="009C4A76" w:rsidRDefault="004C75A2" w:rsidP="00557FA0">
            <w:pPr>
              <w:rPr>
                <w:rFonts w:asciiTheme="majorHAnsi" w:hAnsiTheme="majorHAnsi"/>
              </w:rPr>
            </w:pPr>
            <w:r w:rsidRPr="009C4A76">
              <w:rPr>
                <w:rFonts w:asciiTheme="majorHAnsi" w:hAnsiTheme="majorHAnsi"/>
              </w:rPr>
              <w:t>Improvement on IBD symptoms</w:t>
            </w:r>
          </w:p>
        </w:tc>
      </w:tr>
    </w:tbl>
    <w:p w14:paraId="43251290" w14:textId="569321A9" w:rsidR="004C75A2" w:rsidRPr="004C75A2" w:rsidRDefault="004C75A2" w:rsidP="004C75A2">
      <w:pPr>
        <w:ind w:left="720"/>
        <w:rPr>
          <w:rFonts w:asciiTheme="majorHAnsi" w:hAnsiTheme="majorHAnsi"/>
          <w:i/>
          <w:sz w:val="20"/>
          <w:szCs w:val="20"/>
        </w:rPr>
      </w:pPr>
      <w:bookmarkStart w:id="0" w:name="_GoBack"/>
      <w:bookmarkEnd w:id="0"/>
      <w:r w:rsidRPr="004C75A2">
        <w:rPr>
          <w:rFonts w:asciiTheme="majorHAnsi" w:hAnsiTheme="majorHAnsi"/>
          <w:i/>
          <w:sz w:val="20"/>
          <w:szCs w:val="20"/>
        </w:rPr>
        <w:t>MUS= Medically Unexplained Symptoms, TAU= Treatment as Usual, RCT=Randomized Controlled Trial</w:t>
      </w:r>
    </w:p>
    <w:p w14:paraId="6D4B0D87" w14:textId="77777777" w:rsidR="004C75A2" w:rsidRDefault="004C75A2" w:rsidP="004C75A2">
      <w:pPr>
        <w:pStyle w:val="Pa18"/>
        <w:spacing w:before="100" w:beforeAutospacing="1" w:line="240" w:lineRule="auto"/>
        <w:ind w:left="1080"/>
        <w:jc w:val="both"/>
        <w:rPr>
          <w:rFonts w:asciiTheme="majorHAnsi" w:hAnsiTheme="majorHAnsi" w:cs="Times"/>
          <w:color w:val="000000"/>
        </w:rPr>
      </w:pPr>
    </w:p>
    <w:p w14:paraId="0045E3B3" w14:textId="5718CBB0" w:rsidR="004C75A2" w:rsidRPr="00B419A6"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cs="Times"/>
          <w:color w:val="000000"/>
        </w:rPr>
        <w:t xml:space="preserve">1. Baldoni F, </w:t>
      </w:r>
      <w:proofErr w:type="spellStart"/>
      <w:r w:rsidRPr="00B419A6">
        <w:rPr>
          <w:rFonts w:asciiTheme="majorHAnsi" w:hAnsiTheme="majorHAnsi" w:cs="Times"/>
          <w:color w:val="000000"/>
        </w:rPr>
        <w:t>Baldaro</w:t>
      </w:r>
      <w:proofErr w:type="spellEnd"/>
      <w:r w:rsidRPr="00B419A6">
        <w:rPr>
          <w:rFonts w:asciiTheme="majorHAnsi" w:hAnsiTheme="majorHAnsi" w:cs="Times"/>
          <w:color w:val="000000"/>
        </w:rPr>
        <w:t xml:space="preserve"> B, </w:t>
      </w:r>
      <w:proofErr w:type="spellStart"/>
      <w:r w:rsidRPr="00B419A6">
        <w:rPr>
          <w:rFonts w:asciiTheme="majorHAnsi" w:hAnsiTheme="majorHAnsi" w:cs="Times"/>
          <w:color w:val="000000"/>
        </w:rPr>
        <w:t>Trombini</w:t>
      </w:r>
      <w:proofErr w:type="spellEnd"/>
      <w:r w:rsidRPr="00B419A6">
        <w:rPr>
          <w:rFonts w:asciiTheme="majorHAnsi" w:hAnsiTheme="majorHAnsi" w:cs="Times"/>
          <w:color w:val="000000"/>
        </w:rPr>
        <w:t xml:space="preserve"> G. Psychothera</w:t>
      </w:r>
      <w:r w:rsidRPr="00B419A6">
        <w:rPr>
          <w:rFonts w:asciiTheme="majorHAnsi" w:hAnsiTheme="majorHAnsi" w:cs="Times"/>
          <w:color w:val="000000"/>
        </w:rPr>
        <w:softHyphen/>
        <w:t xml:space="preserve">peutic perspectives in urethral syndrome. </w:t>
      </w:r>
      <w:r w:rsidRPr="00B419A6">
        <w:rPr>
          <w:rFonts w:asciiTheme="majorHAnsi" w:hAnsiTheme="majorHAnsi" w:cs="Times"/>
          <w:i/>
          <w:iCs/>
          <w:color w:val="000000"/>
        </w:rPr>
        <w:t xml:space="preserve">Stress Med. </w:t>
      </w:r>
      <w:r w:rsidRPr="00B419A6">
        <w:rPr>
          <w:rFonts w:asciiTheme="majorHAnsi" w:hAnsiTheme="majorHAnsi" w:cs="Times"/>
          <w:color w:val="000000"/>
        </w:rPr>
        <w:t>1995;11(1):79-84</w:t>
      </w:r>
    </w:p>
    <w:p w14:paraId="143D0526" w14:textId="77777777" w:rsidR="004C75A2" w:rsidRPr="00B419A6"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cs="Times"/>
          <w:color w:val="000000"/>
        </w:rPr>
        <w:t xml:space="preserve">2. </w:t>
      </w:r>
      <w:proofErr w:type="spellStart"/>
      <w:r w:rsidRPr="00B419A6">
        <w:rPr>
          <w:rFonts w:asciiTheme="majorHAnsi" w:hAnsiTheme="majorHAnsi" w:cs="Times"/>
          <w:color w:val="000000"/>
        </w:rPr>
        <w:t>Abbass</w:t>
      </w:r>
      <w:proofErr w:type="spellEnd"/>
      <w:r w:rsidRPr="00B419A6">
        <w:rPr>
          <w:rFonts w:asciiTheme="majorHAnsi" w:hAnsiTheme="majorHAnsi" w:cs="Times"/>
          <w:color w:val="000000"/>
        </w:rPr>
        <w:t xml:space="preserve"> A. Office-based research in intensive short-term dynamic psychotherapy (ISTDP): Data from the first 6 years of practice. </w:t>
      </w:r>
      <w:r w:rsidRPr="00B419A6">
        <w:rPr>
          <w:rFonts w:asciiTheme="majorHAnsi" w:hAnsiTheme="majorHAnsi" w:cs="Times"/>
          <w:i/>
          <w:iCs/>
          <w:color w:val="000000"/>
        </w:rPr>
        <w:t>Ad Hoc Bulletin of Short-term Dynamic Psychotherapy</w:t>
      </w:r>
      <w:r w:rsidRPr="00B419A6">
        <w:rPr>
          <w:rFonts w:asciiTheme="majorHAnsi" w:hAnsiTheme="majorHAnsi" w:cs="Times"/>
          <w:color w:val="000000"/>
        </w:rPr>
        <w:t xml:space="preserve">. 2002;6(2):5-14. </w:t>
      </w:r>
    </w:p>
    <w:p w14:paraId="03FB4259" w14:textId="77777777" w:rsidR="004C75A2" w:rsidRPr="00B419A6"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cs="Times"/>
          <w:color w:val="000000"/>
        </w:rPr>
        <w:lastRenderedPageBreak/>
        <w:t xml:space="preserve">3. Hawkins JR. </w:t>
      </w:r>
      <w:r w:rsidRPr="00C12BA6">
        <w:rPr>
          <w:rFonts w:asciiTheme="majorHAnsi" w:hAnsiTheme="majorHAnsi" w:cs="Times"/>
          <w:iCs/>
          <w:color w:val="000000"/>
        </w:rPr>
        <w:t>The Role of Emotional Repres</w:t>
      </w:r>
      <w:r w:rsidRPr="00C12BA6">
        <w:rPr>
          <w:rFonts w:asciiTheme="majorHAnsi" w:hAnsiTheme="majorHAnsi" w:cs="Times"/>
          <w:iCs/>
          <w:color w:val="000000"/>
        </w:rPr>
        <w:softHyphen/>
        <w:t xml:space="preserve">sion in Chronic Back Pain Patients Undergoing </w:t>
      </w:r>
      <w:proofErr w:type="spellStart"/>
      <w:r w:rsidRPr="00C12BA6">
        <w:rPr>
          <w:rFonts w:asciiTheme="majorHAnsi" w:hAnsiTheme="majorHAnsi" w:cs="Times"/>
          <w:iCs/>
          <w:color w:val="000000"/>
        </w:rPr>
        <w:t>Psychodynamically</w:t>
      </w:r>
      <w:proofErr w:type="spellEnd"/>
      <w:r w:rsidRPr="00C12BA6">
        <w:rPr>
          <w:rFonts w:asciiTheme="majorHAnsi" w:hAnsiTheme="majorHAnsi" w:cs="Times"/>
          <w:iCs/>
          <w:color w:val="000000"/>
        </w:rPr>
        <w:t xml:space="preserve"> Orientated Group Psycho</w:t>
      </w:r>
      <w:r w:rsidRPr="00C12BA6">
        <w:rPr>
          <w:rFonts w:asciiTheme="majorHAnsi" w:hAnsiTheme="majorHAnsi" w:cs="Times"/>
          <w:iCs/>
          <w:color w:val="000000"/>
        </w:rPr>
        <w:softHyphen/>
        <w:t xml:space="preserve">therapy as Treatment for Their Pain. </w:t>
      </w:r>
      <w:r w:rsidRPr="00B419A6">
        <w:rPr>
          <w:rFonts w:asciiTheme="majorHAnsi" w:hAnsiTheme="majorHAnsi" w:cs="Times"/>
          <w:color w:val="000000"/>
        </w:rPr>
        <w:t xml:space="preserve">New York, NY: New York University School of Education; 2003. </w:t>
      </w:r>
    </w:p>
    <w:p w14:paraId="592D135F" w14:textId="77777777" w:rsidR="004C75A2" w:rsidRPr="00B419A6"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cs="Times"/>
          <w:color w:val="000000"/>
        </w:rPr>
        <w:t xml:space="preserve">4. Hinson VK, Weinstein S, Bernard B, </w:t>
      </w:r>
      <w:proofErr w:type="spellStart"/>
      <w:r w:rsidRPr="00B419A6">
        <w:rPr>
          <w:rFonts w:asciiTheme="majorHAnsi" w:hAnsiTheme="majorHAnsi" w:cs="Times"/>
          <w:color w:val="000000"/>
        </w:rPr>
        <w:t>Leurgans</w:t>
      </w:r>
      <w:proofErr w:type="spellEnd"/>
      <w:r w:rsidRPr="00B419A6">
        <w:rPr>
          <w:rFonts w:asciiTheme="majorHAnsi" w:hAnsiTheme="majorHAnsi" w:cs="Times"/>
          <w:color w:val="000000"/>
        </w:rPr>
        <w:t xml:space="preserve"> SE, Goetz CG. Single-blind clinical trial of psy</w:t>
      </w:r>
      <w:r w:rsidRPr="00B419A6">
        <w:rPr>
          <w:rFonts w:asciiTheme="majorHAnsi" w:hAnsiTheme="majorHAnsi" w:cs="Times"/>
          <w:color w:val="000000"/>
        </w:rPr>
        <w:softHyphen/>
        <w:t>chotherapy for treatment of psychogenic move</w:t>
      </w:r>
      <w:r w:rsidRPr="00B419A6">
        <w:rPr>
          <w:rFonts w:asciiTheme="majorHAnsi" w:hAnsiTheme="majorHAnsi" w:cs="Times"/>
          <w:color w:val="000000"/>
        </w:rPr>
        <w:softHyphen/>
        <w:t xml:space="preserve">ment disorders. </w:t>
      </w:r>
      <w:r w:rsidRPr="00B419A6">
        <w:rPr>
          <w:rFonts w:asciiTheme="majorHAnsi" w:hAnsiTheme="majorHAnsi" w:cs="Times"/>
          <w:i/>
          <w:iCs/>
          <w:color w:val="000000"/>
        </w:rPr>
        <w:t xml:space="preserve">Parkinsonism </w:t>
      </w:r>
      <w:proofErr w:type="spellStart"/>
      <w:r w:rsidRPr="00B419A6">
        <w:rPr>
          <w:rFonts w:asciiTheme="majorHAnsi" w:hAnsiTheme="majorHAnsi" w:cs="Times"/>
          <w:i/>
          <w:iCs/>
          <w:color w:val="000000"/>
        </w:rPr>
        <w:t>Relat</w:t>
      </w:r>
      <w:proofErr w:type="spellEnd"/>
      <w:r w:rsidRPr="00B419A6">
        <w:rPr>
          <w:rFonts w:asciiTheme="majorHAnsi" w:hAnsiTheme="majorHAnsi" w:cs="Times"/>
          <w:i/>
          <w:iCs/>
          <w:color w:val="000000"/>
        </w:rPr>
        <w:t xml:space="preserve"> </w:t>
      </w:r>
      <w:proofErr w:type="spellStart"/>
      <w:r w:rsidRPr="00B419A6">
        <w:rPr>
          <w:rFonts w:asciiTheme="majorHAnsi" w:hAnsiTheme="majorHAnsi" w:cs="Times"/>
          <w:i/>
          <w:iCs/>
          <w:color w:val="000000"/>
        </w:rPr>
        <w:t>Disord</w:t>
      </w:r>
      <w:proofErr w:type="spellEnd"/>
      <w:r w:rsidRPr="00B419A6">
        <w:rPr>
          <w:rFonts w:asciiTheme="majorHAnsi" w:hAnsiTheme="majorHAnsi" w:cs="Times"/>
          <w:color w:val="000000"/>
        </w:rPr>
        <w:t xml:space="preserve">. 2006;12(3):177-180. </w:t>
      </w:r>
    </w:p>
    <w:p w14:paraId="314D1B01" w14:textId="77777777" w:rsidR="004C75A2" w:rsidRPr="00B419A6"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cs="Times"/>
          <w:color w:val="000000"/>
        </w:rPr>
        <w:t xml:space="preserve">5. </w:t>
      </w:r>
      <w:proofErr w:type="spellStart"/>
      <w:r w:rsidRPr="00B419A6">
        <w:rPr>
          <w:rFonts w:asciiTheme="majorHAnsi" w:hAnsiTheme="majorHAnsi" w:cs="Times"/>
          <w:color w:val="000000"/>
        </w:rPr>
        <w:t>Abbass</w:t>
      </w:r>
      <w:proofErr w:type="spellEnd"/>
      <w:r w:rsidRPr="00B419A6">
        <w:rPr>
          <w:rFonts w:asciiTheme="majorHAnsi" w:hAnsiTheme="majorHAnsi" w:cs="Times"/>
          <w:color w:val="000000"/>
        </w:rPr>
        <w:t xml:space="preserve"> A, </w:t>
      </w:r>
      <w:proofErr w:type="spellStart"/>
      <w:r w:rsidRPr="00B419A6">
        <w:rPr>
          <w:rFonts w:asciiTheme="majorHAnsi" w:hAnsiTheme="majorHAnsi" w:cs="Times"/>
          <w:color w:val="000000"/>
        </w:rPr>
        <w:t>Lovas</w:t>
      </w:r>
      <w:proofErr w:type="spellEnd"/>
      <w:r w:rsidRPr="00B419A6">
        <w:rPr>
          <w:rFonts w:asciiTheme="majorHAnsi" w:hAnsiTheme="majorHAnsi" w:cs="Times"/>
          <w:color w:val="000000"/>
        </w:rPr>
        <w:t xml:space="preserve"> D, Purdy A. Direct diagno</w:t>
      </w:r>
      <w:r w:rsidRPr="00B419A6">
        <w:rPr>
          <w:rFonts w:asciiTheme="majorHAnsi" w:hAnsiTheme="majorHAnsi" w:cs="Times"/>
          <w:color w:val="000000"/>
        </w:rPr>
        <w:softHyphen/>
        <w:t xml:space="preserve">sis and management of emotional factors in the chronic headache patients. </w:t>
      </w:r>
      <w:r w:rsidRPr="00B419A6">
        <w:rPr>
          <w:rFonts w:asciiTheme="majorHAnsi" w:hAnsiTheme="majorHAnsi" w:cs="Times"/>
          <w:i/>
          <w:iCs/>
          <w:color w:val="000000"/>
        </w:rPr>
        <w:t xml:space="preserve">Cephalalgia. </w:t>
      </w:r>
      <w:r w:rsidRPr="00B419A6">
        <w:rPr>
          <w:rFonts w:asciiTheme="majorHAnsi" w:hAnsiTheme="majorHAnsi" w:cs="Times"/>
          <w:color w:val="000000"/>
        </w:rPr>
        <w:t>2008;28(12):1305-1314.</w:t>
      </w:r>
    </w:p>
    <w:p w14:paraId="7611CC34" w14:textId="77777777" w:rsidR="004C75A2" w:rsidRPr="00B419A6" w:rsidRDefault="004C75A2" w:rsidP="004C75A2">
      <w:pPr>
        <w:pStyle w:val="Pa18"/>
        <w:spacing w:before="100" w:beforeAutospacing="1" w:line="240" w:lineRule="auto"/>
        <w:ind w:left="720"/>
        <w:jc w:val="both"/>
        <w:rPr>
          <w:rFonts w:asciiTheme="majorHAnsi" w:hAnsiTheme="majorHAnsi"/>
        </w:rPr>
      </w:pPr>
      <w:r w:rsidRPr="00B419A6">
        <w:rPr>
          <w:rFonts w:asciiTheme="majorHAnsi" w:hAnsiTheme="majorHAnsi" w:cs="Times"/>
          <w:color w:val="000000"/>
        </w:rPr>
        <w:t xml:space="preserve">6. </w:t>
      </w:r>
      <w:r w:rsidRPr="00B419A6">
        <w:rPr>
          <w:rFonts w:asciiTheme="majorHAnsi" w:hAnsiTheme="majorHAnsi"/>
        </w:rPr>
        <w:t xml:space="preserve">Russell LA, </w:t>
      </w:r>
      <w:proofErr w:type="spellStart"/>
      <w:r w:rsidRPr="00B419A6">
        <w:rPr>
          <w:rFonts w:asciiTheme="majorHAnsi" w:hAnsiTheme="majorHAnsi"/>
        </w:rPr>
        <w:t>Abbass</w:t>
      </w:r>
      <w:proofErr w:type="spellEnd"/>
      <w:r w:rsidRPr="00B419A6">
        <w:rPr>
          <w:rFonts w:asciiTheme="majorHAnsi" w:hAnsiTheme="majorHAnsi"/>
        </w:rPr>
        <w:t xml:space="preserve"> A </w:t>
      </w:r>
      <w:proofErr w:type="spellStart"/>
      <w:r w:rsidRPr="00B419A6">
        <w:rPr>
          <w:rFonts w:asciiTheme="majorHAnsi" w:hAnsiTheme="majorHAnsi"/>
        </w:rPr>
        <w:t>A</w:t>
      </w:r>
      <w:proofErr w:type="spellEnd"/>
      <w:r w:rsidRPr="00B419A6">
        <w:rPr>
          <w:rFonts w:asciiTheme="majorHAnsi" w:hAnsiTheme="majorHAnsi"/>
        </w:rPr>
        <w:t xml:space="preserve">, </w:t>
      </w:r>
      <w:proofErr w:type="spellStart"/>
      <w:r w:rsidRPr="00B419A6">
        <w:rPr>
          <w:rFonts w:asciiTheme="majorHAnsi" w:hAnsiTheme="majorHAnsi"/>
        </w:rPr>
        <w:t>Allder</w:t>
      </w:r>
      <w:proofErr w:type="spellEnd"/>
      <w:r w:rsidRPr="00B419A6">
        <w:rPr>
          <w:rFonts w:asciiTheme="majorHAnsi" w:hAnsiTheme="majorHAnsi"/>
        </w:rPr>
        <w:t xml:space="preserve"> SJ, Kisely S, </w:t>
      </w:r>
      <w:proofErr w:type="spellStart"/>
      <w:r w:rsidRPr="00B419A6">
        <w:rPr>
          <w:rFonts w:asciiTheme="majorHAnsi" w:hAnsiTheme="majorHAnsi"/>
        </w:rPr>
        <w:t>Pohlmann</w:t>
      </w:r>
      <w:proofErr w:type="spellEnd"/>
      <w:r w:rsidRPr="00B419A6">
        <w:rPr>
          <w:rFonts w:asciiTheme="majorHAnsi" w:hAnsiTheme="majorHAnsi"/>
        </w:rPr>
        <w:t xml:space="preserve">-Eden B, Town JM (2016). A pilot study of reduction in healthcare costs following the application of intensive short-term dynamic psychotherapy for psychogenic nonepileptic seizures. Epilepsy &amp; </w:t>
      </w:r>
      <w:proofErr w:type="gramStart"/>
      <w:r w:rsidRPr="00B419A6">
        <w:rPr>
          <w:rFonts w:asciiTheme="majorHAnsi" w:hAnsiTheme="majorHAnsi"/>
        </w:rPr>
        <w:t>behavior :</w:t>
      </w:r>
      <w:proofErr w:type="gramEnd"/>
      <w:r w:rsidRPr="00B419A6">
        <w:rPr>
          <w:rFonts w:asciiTheme="majorHAnsi" w:hAnsiTheme="majorHAnsi"/>
        </w:rPr>
        <w:t xml:space="preserve"> E&amp;B , 63, 17-19.</w:t>
      </w:r>
    </w:p>
    <w:p w14:paraId="23D3D4BD" w14:textId="77777777" w:rsidR="004C75A2" w:rsidRPr="00B419A6" w:rsidRDefault="004C75A2" w:rsidP="004C75A2">
      <w:pPr>
        <w:pStyle w:val="Pa18"/>
        <w:spacing w:before="100" w:beforeAutospacing="1" w:line="240" w:lineRule="auto"/>
        <w:ind w:left="720"/>
        <w:jc w:val="both"/>
        <w:rPr>
          <w:rFonts w:asciiTheme="majorHAnsi" w:hAnsiTheme="majorHAnsi"/>
        </w:rPr>
      </w:pPr>
      <w:r w:rsidRPr="00B419A6">
        <w:rPr>
          <w:rFonts w:asciiTheme="majorHAnsi" w:hAnsiTheme="majorHAnsi"/>
        </w:rPr>
        <w:t xml:space="preserve">7. </w:t>
      </w:r>
      <w:proofErr w:type="spellStart"/>
      <w:r w:rsidRPr="00B419A6">
        <w:rPr>
          <w:rFonts w:asciiTheme="majorHAnsi" w:hAnsiTheme="majorHAnsi"/>
        </w:rPr>
        <w:t>Chavooshi</w:t>
      </w:r>
      <w:proofErr w:type="spellEnd"/>
      <w:r w:rsidRPr="00B419A6">
        <w:rPr>
          <w:rFonts w:asciiTheme="majorHAnsi" w:hAnsiTheme="majorHAnsi"/>
        </w:rPr>
        <w:t xml:space="preserve">, B., </w:t>
      </w:r>
      <w:proofErr w:type="spellStart"/>
      <w:r w:rsidRPr="00B419A6">
        <w:rPr>
          <w:rFonts w:asciiTheme="majorHAnsi" w:hAnsiTheme="majorHAnsi"/>
        </w:rPr>
        <w:t>Mohammadkhani</w:t>
      </w:r>
      <w:proofErr w:type="spellEnd"/>
      <w:r w:rsidRPr="00B419A6">
        <w:rPr>
          <w:rFonts w:asciiTheme="majorHAnsi" w:hAnsiTheme="majorHAnsi"/>
        </w:rPr>
        <w:t xml:space="preserve">, P., &amp; </w:t>
      </w:r>
      <w:proofErr w:type="spellStart"/>
      <w:r w:rsidRPr="00B419A6">
        <w:rPr>
          <w:rFonts w:asciiTheme="majorHAnsi" w:hAnsiTheme="majorHAnsi"/>
        </w:rPr>
        <w:t>Dolatshahee</w:t>
      </w:r>
      <w:proofErr w:type="spellEnd"/>
      <w:r w:rsidRPr="00B419A6">
        <w:rPr>
          <w:rFonts w:asciiTheme="majorHAnsi" w:hAnsiTheme="majorHAnsi"/>
        </w:rPr>
        <w:t>, B. (2016). A Randomized Double-Blind Controlled Trial Comparing Davanloo’s Intensive Short-Term Dynamic Psychotherapy as Internet-Delivered Versus Treatment as Usual for Medically Unexplained Pain: A Six-Month Pilot Study. Psychosomatics, 57(3), 292–300.</w:t>
      </w:r>
    </w:p>
    <w:p w14:paraId="1095153A" w14:textId="77777777" w:rsidR="004C75A2" w:rsidRPr="002560BF" w:rsidRDefault="004C75A2" w:rsidP="004C75A2">
      <w:pPr>
        <w:pStyle w:val="Pa18"/>
        <w:spacing w:before="100" w:beforeAutospacing="1" w:line="240" w:lineRule="auto"/>
        <w:ind w:left="720"/>
        <w:jc w:val="both"/>
        <w:rPr>
          <w:rFonts w:asciiTheme="majorHAnsi" w:hAnsiTheme="majorHAnsi" w:cs="Times"/>
          <w:color w:val="000000"/>
        </w:rPr>
      </w:pPr>
      <w:r w:rsidRPr="00B419A6">
        <w:rPr>
          <w:rFonts w:asciiTheme="majorHAnsi" w:hAnsiTheme="majorHAnsi"/>
        </w:rPr>
        <w:t xml:space="preserve">8. </w:t>
      </w:r>
      <w:proofErr w:type="spellStart"/>
      <w:r w:rsidRPr="00B419A6">
        <w:rPr>
          <w:rFonts w:asciiTheme="majorHAnsi" w:hAnsiTheme="majorHAnsi"/>
        </w:rPr>
        <w:t>Chavoosh</w:t>
      </w:r>
      <w:proofErr w:type="spellEnd"/>
      <w:r w:rsidRPr="00B419A6">
        <w:rPr>
          <w:rFonts w:asciiTheme="majorHAnsi" w:hAnsiTheme="majorHAnsi"/>
        </w:rPr>
        <w:t xml:space="preserve"> </w:t>
      </w:r>
      <w:proofErr w:type="spellStart"/>
      <w:r w:rsidRPr="00B419A6">
        <w:rPr>
          <w:rFonts w:asciiTheme="majorHAnsi" w:hAnsiTheme="majorHAnsi"/>
        </w:rPr>
        <w:t>i</w:t>
      </w:r>
      <w:proofErr w:type="spellEnd"/>
      <w:r w:rsidRPr="00B419A6">
        <w:rPr>
          <w:rFonts w:asciiTheme="majorHAnsi" w:hAnsiTheme="majorHAnsi"/>
        </w:rPr>
        <w:t xml:space="preserve">, B., </w:t>
      </w:r>
      <w:proofErr w:type="spellStart"/>
      <w:r w:rsidRPr="00B419A6">
        <w:rPr>
          <w:rFonts w:asciiTheme="majorHAnsi" w:hAnsiTheme="majorHAnsi"/>
        </w:rPr>
        <w:t>Mohammadkhani</w:t>
      </w:r>
      <w:proofErr w:type="spellEnd"/>
      <w:r w:rsidRPr="00B419A6">
        <w:rPr>
          <w:rFonts w:asciiTheme="majorHAnsi" w:hAnsiTheme="majorHAnsi"/>
        </w:rPr>
        <w:t xml:space="preserve">, P., &amp; </w:t>
      </w:r>
      <w:proofErr w:type="spellStart"/>
      <w:r w:rsidRPr="00B419A6">
        <w:rPr>
          <w:rFonts w:asciiTheme="majorHAnsi" w:hAnsiTheme="majorHAnsi"/>
        </w:rPr>
        <w:t>Dolatshahee</w:t>
      </w:r>
      <w:proofErr w:type="spellEnd"/>
      <w:r w:rsidRPr="00B419A6">
        <w:rPr>
          <w:rFonts w:asciiTheme="majorHAnsi" w:hAnsiTheme="majorHAnsi"/>
        </w:rPr>
        <w:t>, B. (2016). Efficacy of Intensive Short-Term Dynamic Psychotherapy for Medically Unexplained Pain: A Pilot Three-Armed Randomized Controlled Trial Comparison with Mindfulness-Based Stress Reduction. Psychotherapy and Psychosomatics, 123–125.</w:t>
      </w:r>
    </w:p>
    <w:p w14:paraId="425C1F3F" w14:textId="77777777" w:rsidR="004C75A2" w:rsidRPr="004C75A2" w:rsidRDefault="004C75A2" w:rsidP="004C75A2">
      <w:pPr>
        <w:widowControl w:val="0"/>
        <w:autoSpaceDE w:val="0"/>
        <w:autoSpaceDN w:val="0"/>
        <w:adjustRightInd w:val="0"/>
        <w:spacing w:before="100" w:beforeAutospacing="1"/>
        <w:ind w:left="720"/>
        <w:rPr>
          <w:rFonts w:asciiTheme="majorHAnsi" w:hAnsiTheme="majorHAnsi" w:cs="Times New Roman"/>
        </w:rPr>
      </w:pPr>
      <w:r w:rsidRPr="004C75A2">
        <w:rPr>
          <w:rFonts w:asciiTheme="majorHAnsi" w:hAnsiTheme="majorHAnsi" w:cs="Times New Roman"/>
        </w:rPr>
        <w:t xml:space="preserve">9. </w:t>
      </w:r>
      <w:proofErr w:type="spellStart"/>
      <w:r w:rsidRPr="004C75A2">
        <w:rPr>
          <w:rFonts w:asciiTheme="majorHAnsi" w:hAnsiTheme="majorHAnsi" w:cs="Times New Roman"/>
        </w:rPr>
        <w:t>Chavoosh</w:t>
      </w:r>
      <w:proofErr w:type="spellEnd"/>
      <w:r w:rsidRPr="004C75A2">
        <w:rPr>
          <w:rFonts w:asciiTheme="majorHAnsi" w:hAnsiTheme="majorHAnsi" w:cs="Times New Roman"/>
        </w:rPr>
        <w:t xml:space="preserve"> </w:t>
      </w:r>
      <w:proofErr w:type="spellStart"/>
      <w:r w:rsidRPr="004C75A2">
        <w:rPr>
          <w:rFonts w:asciiTheme="majorHAnsi" w:hAnsiTheme="majorHAnsi" w:cs="Times New Roman"/>
        </w:rPr>
        <w:t>i</w:t>
      </w:r>
      <w:proofErr w:type="spellEnd"/>
      <w:r w:rsidRPr="004C75A2">
        <w:rPr>
          <w:rFonts w:asciiTheme="majorHAnsi" w:hAnsiTheme="majorHAnsi" w:cs="Times New Roman"/>
        </w:rPr>
        <w:t xml:space="preserve">, B., </w:t>
      </w:r>
      <w:proofErr w:type="spellStart"/>
      <w:r w:rsidRPr="004C75A2">
        <w:rPr>
          <w:rFonts w:asciiTheme="majorHAnsi" w:hAnsiTheme="majorHAnsi" w:cs="Times New Roman"/>
        </w:rPr>
        <w:t>Mohammadkhani</w:t>
      </w:r>
      <w:proofErr w:type="spellEnd"/>
      <w:r w:rsidRPr="004C75A2">
        <w:rPr>
          <w:rFonts w:asciiTheme="majorHAnsi" w:hAnsiTheme="majorHAnsi" w:cs="Times New Roman"/>
        </w:rPr>
        <w:t xml:space="preserve">, P., &amp; </w:t>
      </w:r>
      <w:proofErr w:type="spellStart"/>
      <w:r w:rsidRPr="004C75A2">
        <w:rPr>
          <w:rFonts w:asciiTheme="majorHAnsi" w:hAnsiTheme="majorHAnsi" w:cs="Times New Roman"/>
        </w:rPr>
        <w:t>Dolatshahee</w:t>
      </w:r>
      <w:proofErr w:type="spellEnd"/>
      <w:r w:rsidRPr="004C75A2">
        <w:rPr>
          <w:rFonts w:asciiTheme="majorHAnsi" w:hAnsiTheme="majorHAnsi" w:cs="Times New Roman"/>
        </w:rPr>
        <w:t xml:space="preserve">, B. (2016). Telemedicine vs. </w:t>
      </w:r>
      <w:proofErr w:type="spellStart"/>
      <w:r w:rsidRPr="004C75A2">
        <w:rPr>
          <w:rFonts w:asciiTheme="majorHAnsi" w:hAnsiTheme="majorHAnsi" w:cs="Times New Roman"/>
        </w:rPr>
        <w:t>inperson</w:t>
      </w:r>
      <w:proofErr w:type="spellEnd"/>
      <w:r w:rsidRPr="004C75A2">
        <w:rPr>
          <w:rFonts w:asciiTheme="majorHAnsi" w:hAnsiTheme="majorHAnsi" w:cs="Times New Roman"/>
        </w:rPr>
        <w:t xml:space="preserve"> delivery of intensive short-term dynamic psychotherapy for patients with medically unexplained pain: A 12-month randomized, controlled trial. Journal of Telemedicine and Telecare, 0(0), 1–9.</w:t>
      </w:r>
    </w:p>
    <w:p w14:paraId="6327912C" w14:textId="77777777" w:rsidR="004C75A2" w:rsidRPr="004C75A2" w:rsidRDefault="004C75A2" w:rsidP="004C75A2">
      <w:pPr>
        <w:widowControl w:val="0"/>
        <w:autoSpaceDE w:val="0"/>
        <w:autoSpaceDN w:val="0"/>
        <w:adjustRightInd w:val="0"/>
        <w:spacing w:before="100" w:beforeAutospacing="1"/>
        <w:ind w:left="720"/>
        <w:rPr>
          <w:rFonts w:asciiTheme="majorHAnsi" w:hAnsiTheme="majorHAnsi" w:cs="Times New Roman"/>
        </w:rPr>
      </w:pPr>
      <w:r w:rsidRPr="004C75A2">
        <w:rPr>
          <w:rFonts w:asciiTheme="majorHAnsi" w:hAnsiTheme="majorHAnsi" w:cs="Times New Roman"/>
        </w:rPr>
        <w:t xml:space="preserve">10. </w:t>
      </w:r>
      <w:proofErr w:type="spellStart"/>
      <w:proofErr w:type="gramStart"/>
      <w:r w:rsidRPr="004C75A2">
        <w:rPr>
          <w:rFonts w:asciiTheme="majorHAnsi" w:hAnsiTheme="majorHAnsi" w:cs="Times New Roman"/>
        </w:rPr>
        <w:t>Svedlund</w:t>
      </w:r>
      <w:proofErr w:type="spellEnd"/>
      <w:r w:rsidRPr="004C75A2">
        <w:rPr>
          <w:rFonts w:asciiTheme="majorHAnsi" w:hAnsiTheme="majorHAnsi" w:cs="Times New Roman"/>
        </w:rPr>
        <w:t xml:space="preserve"> ,</w:t>
      </w:r>
      <w:proofErr w:type="gramEnd"/>
      <w:r w:rsidRPr="004C75A2">
        <w:rPr>
          <w:rFonts w:asciiTheme="majorHAnsi" w:hAnsiTheme="majorHAnsi" w:cs="Times New Roman"/>
        </w:rPr>
        <w:t xml:space="preserve"> J., </w:t>
      </w:r>
      <w:proofErr w:type="spellStart"/>
      <w:r w:rsidRPr="004C75A2">
        <w:rPr>
          <w:rFonts w:asciiTheme="majorHAnsi" w:hAnsiTheme="majorHAnsi" w:cs="Times New Roman"/>
        </w:rPr>
        <w:t>Sjodin</w:t>
      </w:r>
      <w:proofErr w:type="spellEnd"/>
      <w:r w:rsidRPr="004C75A2">
        <w:rPr>
          <w:rFonts w:asciiTheme="majorHAnsi" w:hAnsiTheme="majorHAnsi" w:cs="Times New Roman"/>
        </w:rPr>
        <w:t xml:space="preserve">, I., </w:t>
      </w:r>
      <w:proofErr w:type="spellStart"/>
      <w:r w:rsidRPr="004C75A2">
        <w:rPr>
          <w:rFonts w:asciiTheme="majorHAnsi" w:hAnsiTheme="majorHAnsi" w:cs="Times New Roman"/>
        </w:rPr>
        <w:t>Ottosson</w:t>
      </w:r>
      <w:proofErr w:type="spellEnd"/>
      <w:r w:rsidRPr="004C75A2">
        <w:rPr>
          <w:rFonts w:asciiTheme="majorHAnsi" w:hAnsiTheme="majorHAnsi" w:cs="Times New Roman"/>
        </w:rPr>
        <w:t xml:space="preserve">, J. O., &amp; </w:t>
      </w:r>
      <w:proofErr w:type="spellStart"/>
      <w:r w:rsidRPr="004C75A2">
        <w:rPr>
          <w:rFonts w:asciiTheme="majorHAnsi" w:hAnsiTheme="majorHAnsi" w:cs="Times New Roman"/>
        </w:rPr>
        <w:t>Dotevall</w:t>
      </w:r>
      <w:proofErr w:type="spellEnd"/>
      <w:r w:rsidRPr="004C75A2">
        <w:rPr>
          <w:rFonts w:asciiTheme="majorHAnsi" w:hAnsiTheme="majorHAnsi" w:cs="Times New Roman"/>
        </w:rPr>
        <w:t>, G. (1983). Controlled study of psychotherapy in irritable bowel syndrome. Lancet, 2, 589-592.</w:t>
      </w:r>
    </w:p>
    <w:p w14:paraId="7FF9244A" w14:textId="77777777" w:rsidR="004C75A2" w:rsidRPr="004C75A2" w:rsidRDefault="004C75A2" w:rsidP="004C75A2">
      <w:pPr>
        <w:spacing w:before="100" w:beforeAutospacing="1"/>
        <w:ind w:left="720"/>
        <w:rPr>
          <w:rFonts w:asciiTheme="majorHAnsi" w:hAnsiTheme="majorHAnsi" w:cs="Times New Roman"/>
        </w:rPr>
      </w:pPr>
      <w:r w:rsidRPr="004C75A2">
        <w:rPr>
          <w:rFonts w:asciiTheme="majorHAnsi" w:hAnsiTheme="majorHAnsi" w:cs="Times New Roman"/>
        </w:rPr>
        <w:t xml:space="preserve">11. </w:t>
      </w:r>
      <w:proofErr w:type="spellStart"/>
      <w:r w:rsidRPr="004C75A2">
        <w:rPr>
          <w:rFonts w:asciiTheme="majorHAnsi" w:hAnsiTheme="majorHAnsi" w:cs="Times New Roman"/>
        </w:rPr>
        <w:t>Abbass</w:t>
      </w:r>
      <w:proofErr w:type="spellEnd"/>
      <w:r w:rsidRPr="004C75A2">
        <w:rPr>
          <w:rFonts w:asciiTheme="majorHAnsi" w:hAnsiTheme="majorHAnsi" w:cs="Times New Roman"/>
        </w:rPr>
        <w:t xml:space="preserve"> A, Campbell S, Magee K, </w:t>
      </w:r>
      <w:proofErr w:type="spellStart"/>
      <w:r w:rsidRPr="004C75A2">
        <w:rPr>
          <w:rFonts w:asciiTheme="majorHAnsi" w:hAnsiTheme="majorHAnsi" w:cs="Times New Roman"/>
        </w:rPr>
        <w:t>Tarzwell</w:t>
      </w:r>
      <w:proofErr w:type="spellEnd"/>
      <w:r w:rsidRPr="004C75A2">
        <w:rPr>
          <w:rFonts w:asciiTheme="majorHAnsi" w:hAnsiTheme="majorHAnsi" w:cs="Times New Roman"/>
        </w:rPr>
        <w:t xml:space="preserve"> R (2009). Intensive short-term dynamic psychotherapy to reduce rates of emergency department return visits for patients with medically unexplained symptoms: preliminary evidence from a pre-post intervention study. Canadian Journal of Emergency Medicine, 11(6), 529-34.</w:t>
      </w:r>
    </w:p>
    <w:p w14:paraId="13F22CE3" w14:textId="77777777" w:rsidR="004C75A2" w:rsidRPr="004C75A2" w:rsidRDefault="004C75A2" w:rsidP="004C75A2">
      <w:pPr>
        <w:spacing w:before="100" w:beforeAutospacing="1"/>
        <w:ind w:left="720"/>
        <w:rPr>
          <w:rFonts w:asciiTheme="majorHAnsi" w:hAnsiTheme="majorHAnsi" w:cs="Times New Roman"/>
        </w:rPr>
      </w:pPr>
      <w:r w:rsidRPr="004C75A2">
        <w:rPr>
          <w:rFonts w:asciiTheme="majorHAnsi" w:hAnsiTheme="majorHAnsi" w:cs="Times New Roman"/>
        </w:rPr>
        <w:t xml:space="preserve">12. </w:t>
      </w:r>
      <w:proofErr w:type="spellStart"/>
      <w:r w:rsidRPr="004C75A2">
        <w:rPr>
          <w:rFonts w:asciiTheme="majorHAnsi" w:hAnsiTheme="majorHAnsi" w:cs="Times New Roman"/>
        </w:rPr>
        <w:t>Abbass</w:t>
      </w:r>
      <w:proofErr w:type="spellEnd"/>
      <w:r w:rsidRPr="004C75A2">
        <w:rPr>
          <w:rFonts w:asciiTheme="majorHAnsi" w:hAnsiTheme="majorHAnsi" w:cs="Times New Roman"/>
        </w:rPr>
        <w:t xml:space="preserve"> A, Kisely S, </w:t>
      </w:r>
      <w:proofErr w:type="spellStart"/>
      <w:r w:rsidRPr="004C75A2">
        <w:rPr>
          <w:rFonts w:asciiTheme="majorHAnsi" w:hAnsiTheme="majorHAnsi" w:cs="Times New Roman"/>
        </w:rPr>
        <w:t>Rasic</w:t>
      </w:r>
      <w:proofErr w:type="spellEnd"/>
      <w:r w:rsidRPr="004C75A2">
        <w:rPr>
          <w:rFonts w:asciiTheme="majorHAnsi" w:hAnsiTheme="majorHAnsi" w:cs="Times New Roman"/>
        </w:rPr>
        <w:t xml:space="preserve"> D, Town JM, Johansson R (2015). Long-term healthcare cost reduction with Intensive </w:t>
      </w:r>
      <w:proofErr w:type="gramStart"/>
      <w:r w:rsidRPr="004C75A2">
        <w:rPr>
          <w:rFonts w:asciiTheme="majorHAnsi" w:hAnsiTheme="majorHAnsi" w:cs="Times New Roman"/>
        </w:rPr>
        <w:t>Short term</w:t>
      </w:r>
      <w:proofErr w:type="gramEnd"/>
      <w:r w:rsidRPr="004C75A2">
        <w:rPr>
          <w:rFonts w:asciiTheme="majorHAnsi" w:hAnsiTheme="majorHAnsi" w:cs="Times New Roman"/>
        </w:rPr>
        <w:t xml:space="preserve"> Dynamic Psychotherapy in a tertiary psychiatric service. Journal of psychiatric research, 64, 114-20.</w:t>
      </w:r>
    </w:p>
    <w:p w14:paraId="4CB0B9A2" w14:textId="77777777" w:rsidR="004C75A2" w:rsidRPr="004C75A2" w:rsidRDefault="004C75A2" w:rsidP="004C75A2">
      <w:pPr>
        <w:spacing w:before="100" w:beforeAutospacing="1"/>
        <w:ind w:left="720"/>
        <w:rPr>
          <w:rFonts w:asciiTheme="majorHAnsi" w:hAnsiTheme="majorHAnsi" w:cs="Times New Roman"/>
        </w:rPr>
      </w:pPr>
      <w:r w:rsidRPr="004C75A2">
        <w:rPr>
          <w:rFonts w:asciiTheme="majorHAnsi" w:hAnsiTheme="majorHAnsi" w:cs="Times New Roman"/>
        </w:rPr>
        <w:lastRenderedPageBreak/>
        <w:t xml:space="preserve">13. Linnet, J., &amp; </w:t>
      </w:r>
      <w:proofErr w:type="spellStart"/>
      <w:r w:rsidRPr="004C75A2">
        <w:rPr>
          <w:rFonts w:asciiTheme="majorHAnsi" w:hAnsiTheme="majorHAnsi" w:cs="Times New Roman"/>
        </w:rPr>
        <w:t>Jemec</w:t>
      </w:r>
      <w:proofErr w:type="spellEnd"/>
      <w:r w:rsidRPr="004C75A2">
        <w:rPr>
          <w:rFonts w:asciiTheme="majorHAnsi" w:hAnsiTheme="majorHAnsi" w:cs="Times New Roman"/>
        </w:rPr>
        <w:t xml:space="preserve">, G. B. (2001). Anxiety level and severity of skin condition predicts outcome of psychotherapy in atopic dermatitis patients. </w:t>
      </w:r>
      <w:proofErr w:type="spellStart"/>
      <w:r w:rsidRPr="004C75A2">
        <w:rPr>
          <w:rFonts w:asciiTheme="majorHAnsi" w:hAnsiTheme="majorHAnsi" w:cs="Times New Roman"/>
        </w:rPr>
        <w:t>Int</w:t>
      </w:r>
      <w:proofErr w:type="spellEnd"/>
      <w:r w:rsidRPr="004C75A2">
        <w:rPr>
          <w:rFonts w:asciiTheme="majorHAnsi" w:hAnsiTheme="majorHAnsi" w:cs="Times New Roman"/>
        </w:rPr>
        <w:t xml:space="preserve"> J Dermatol, 40, 632-636.</w:t>
      </w:r>
    </w:p>
    <w:p w14:paraId="32CE6C65" w14:textId="77777777" w:rsidR="004C75A2" w:rsidRPr="004C75A2" w:rsidRDefault="004C75A2" w:rsidP="004C75A2">
      <w:pPr>
        <w:spacing w:before="100" w:beforeAutospacing="1"/>
        <w:ind w:left="720"/>
        <w:rPr>
          <w:rFonts w:ascii="Times New Roman" w:hAnsi="Times New Roman" w:cs="Times New Roman"/>
          <w:sz w:val="16"/>
          <w:szCs w:val="16"/>
        </w:rPr>
      </w:pPr>
      <w:r w:rsidRPr="004C75A2">
        <w:rPr>
          <w:rFonts w:asciiTheme="majorHAnsi" w:hAnsiTheme="majorHAnsi" w:cs="Times New Roman"/>
        </w:rPr>
        <w:t xml:space="preserve">14. </w:t>
      </w:r>
      <w:proofErr w:type="spellStart"/>
      <w:r w:rsidRPr="004C75A2">
        <w:rPr>
          <w:rFonts w:asciiTheme="majorHAnsi" w:hAnsiTheme="majorHAnsi" w:cs="Times New Roman"/>
        </w:rPr>
        <w:t>Chirco</w:t>
      </w:r>
      <w:proofErr w:type="spellEnd"/>
      <w:r w:rsidRPr="004C75A2">
        <w:rPr>
          <w:rFonts w:asciiTheme="majorHAnsi" w:hAnsiTheme="majorHAnsi" w:cs="Times New Roman"/>
        </w:rPr>
        <w:t xml:space="preserve"> S, Bargnani A et al, ISTDP for Bruxism. A Randomized Controlled Trial. In Progress. Padua Italy.</w:t>
      </w:r>
      <w:r w:rsidRPr="004C75A2">
        <w:rPr>
          <w:rFonts w:ascii="Times New Roman" w:hAnsi="Times New Roman" w:cs="Times New Roman"/>
          <w:sz w:val="16"/>
          <w:szCs w:val="16"/>
        </w:rPr>
        <w:t xml:space="preserve"> </w:t>
      </w:r>
    </w:p>
    <w:p w14:paraId="342131CA" w14:textId="77777777" w:rsidR="004C75A2" w:rsidRPr="004C75A2" w:rsidRDefault="004C75A2" w:rsidP="004C75A2">
      <w:pPr>
        <w:spacing w:before="100" w:beforeAutospacing="1"/>
        <w:ind w:left="720"/>
        <w:rPr>
          <w:rFonts w:asciiTheme="majorHAnsi" w:hAnsiTheme="majorHAnsi" w:cs="Times New Roman"/>
        </w:rPr>
      </w:pPr>
      <w:r w:rsidRPr="004C75A2">
        <w:rPr>
          <w:rFonts w:asciiTheme="majorHAnsi" w:hAnsiTheme="majorHAnsi" w:cs="Times New Roman"/>
        </w:rPr>
        <w:t>15. Russell et al. 2017 A preliminary evaluation of intensive</w:t>
      </w:r>
      <w:r w:rsidRPr="004C75A2">
        <w:rPr>
          <w:rFonts w:ascii="Times New Roman" w:hAnsi="Times New Roman" w:cs="Times New Roman"/>
          <w:sz w:val="16"/>
          <w:szCs w:val="16"/>
        </w:rPr>
        <w:t xml:space="preserve"> </w:t>
      </w:r>
      <w:r w:rsidRPr="004C75A2">
        <w:rPr>
          <w:rFonts w:asciiTheme="majorHAnsi" w:hAnsiTheme="majorHAnsi" w:cs="Times New Roman"/>
        </w:rPr>
        <w:t>short-term dynamic psychotherapy within a</w:t>
      </w:r>
      <w:r w:rsidRPr="004C75A2">
        <w:rPr>
          <w:rFonts w:ascii="Times New Roman" w:hAnsi="Times New Roman" w:cs="Times New Roman"/>
          <w:sz w:val="16"/>
          <w:szCs w:val="16"/>
        </w:rPr>
        <w:t xml:space="preserve"> </w:t>
      </w:r>
      <w:r w:rsidRPr="004C75A2">
        <w:rPr>
          <w:rFonts w:asciiTheme="majorHAnsi" w:hAnsiTheme="majorHAnsi" w:cs="Times New Roman"/>
        </w:rPr>
        <w:t>functional neurological symptoms service. The Neuropsychologist 4, 25-33</w:t>
      </w:r>
    </w:p>
    <w:p w14:paraId="787FD6B7" w14:textId="77777777" w:rsidR="004C75A2" w:rsidRPr="004C75A2" w:rsidRDefault="004C75A2" w:rsidP="004C75A2">
      <w:pPr>
        <w:spacing w:before="100" w:beforeAutospacing="1"/>
        <w:ind w:left="720"/>
        <w:rPr>
          <w:rFonts w:asciiTheme="majorHAnsi" w:hAnsiTheme="majorHAnsi" w:cstheme="majorHAnsi"/>
        </w:rPr>
      </w:pPr>
      <w:r w:rsidRPr="004C75A2">
        <w:rPr>
          <w:rFonts w:asciiTheme="majorHAnsi" w:hAnsiTheme="majorHAnsi" w:cstheme="majorHAnsi"/>
        </w:rPr>
        <w:t xml:space="preserve">16. Cooper A, </w:t>
      </w:r>
      <w:proofErr w:type="spellStart"/>
      <w:r w:rsidRPr="004C75A2">
        <w:rPr>
          <w:rFonts w:asciiTheme="majorHAnsi" w:hAnsiTheme="majorHAnsi" w:cstheme="majorHAnsi"/>
        </w:rPr>
        <w:t>Abbass</w:t>
      </w:r>
      <w:proofErr w:type="spellEnd"/>
      <w:r w:rsidRPr="004C75A2">
        <w:rPr>
          <w:rFonts w:asciiTheme="majorHAnsi" w:hAnsiTheme="majorHAnsi" w:cstheme="majorHAnsi"/>
        </w:rPr>
        <w:t xml:space="preserve"> A, Zed J, Bedford L, </w:t>
      </w:r>
      <w:proofErr w:type="spellStart"/>
      <w:r w:rsidRPr="004C75A2">
        <w:rPr>
          <w:rFonts w:asciiTheme="majorHAnsi" w:hAnsiTheme="majorHAnsi" w:cstheme="majorHAnsi"/>
        </w:rPr>
        <w:t>Sampalli</w:t>
      </w:r>
      <w:proofErr w:type="spellEnd"/>
      <w:r w:rsidRPr="004C75A2">
        <w:rPr>
          <w:rFonts w:asciiTheme="majorHAnsi" w:hAnsiTheme="majorHAnsi" w:cstheme="majorHAnsi"/>
        </w:rPr>
        <w:t xml:space="preserve"> T, Town J (2017) Implementing a Psychotherapy Service for Medically Unexplained Symptoms in a Primary Care Setting. Journal of Clinical Medicine 6, 109.</w:t>
      </w:r>
    </w:p>
    <w:p w14:paraId="5B5D1D7E" w14:textId="77777777" w:rsidR="004C75A2" w:rsidRPr="004C75A2" w:rsidRDefault="004C75A2" w:rsidP="004C75A2">
      <w:pPr>
        <w:spacing w:before="100" w:beforeAutospacing="1"/>
        <w:ind w:left="720"/>
        <w:rPr>
          <w:rFonts w:asciiTheme="majorHAnsi" w:hAnsiTheme="majorHAnsi" w:cstheme="majorHAnsi"/>
        </w:rPr>
      </w:pPr>
      <w:r w:rsidRPr="004C75A2">
        <w:rPr>
          <w:rFonts w:asciiTheme="majorHAnsi" w:hAnsiTheme="majorHAnsi" w:cstheme="majorHAnsi"/>
        </w:rPr>
        <w:t xml:space="preserve">17. Watt P, Irving M (2018) A Diagnosis of Inflammatory Bowel Disease and Access to Psychotherapy: Rural Patients Who Accept Treatment Report Psychosomatic Benefits: </w:t>
      </w:r>
      <w:r w:rsidRPr="004C75A2">
        <w:rPr>
          <w:rFonts w:asciiTheme="majorHAnsi" w:eastAsia="Times New Roman" w:hAnsiTheme="majorHAnsi" w:cstheme="majorHAnsi"/>
          <w:iCs/>
        </w:rPr>
        <w:t>Inflammatory Bowel Diseases</w:t>
      </w:r>
      <w:r w:rsidRPr="004C75A2">
        <w:rPr>
          <w:rFonts w:asciiTheme="majorHAnsi" w:eastAsia="Times New Roman" w:hAnsiTheme="majorHAnsi" w:cstheme="majorHAnsi"/>
        </w:rPr>
        <w:t xml:space="preserve">, izy245, </w:t>
      </w:r>
      <w:hyperlink r:id="rId8" w:history="1">
        <w:r w:rsidRPr="004C75A2">
          <w:rPr>
            <w:rFonts w:asciiTheme="majorHAnsi" w:eastAsia="Times New Roman" w:hAnsiTheme="majorHAnsi" w:cstheme="majorHAnsi"/>
            <w:color w:val="0000FF"/>
            <w:u w:val="single"/>
          </w:rPr>
          <w:t>https://doi.org/10.1093/ibd/izy245</w:t>
        </w:r>
      </w:hyperlink>
    </w:p>
    <w:p w14:paraId="5701EDEF" w14:textId="77777777" w:rsidR="004C75A2" w:rsidRDefault="004C75A2" w:rsidP="004C75A2">
      <w:pPr>
        <w:ind w:left="720"/>
      </w:pPr>
    </w:p>
    <w:p w14:paraId="1F3E79C3" w14:textId="77777777" w:rsidR="00AF19A1" w:rsidRDefault="00AF19A1" w:rsidP="004C75A2">
      <w:pPr>
        <w:ind w:left="720"/>
      </w:pPr>
    </w:p>
    <w:p w14:paraId="66788BBB" w14:textId="77777777" w:rsidR="00AF19A1" w:rsidRDefault="00AF19A1" w:rsidP="004C75A2">
      <w:pPr>
        <w:ind w:left="720"/>
      </w:pPr>
    </w:p>
    <w:p w14:paraId="7A1B1823" w14:textId="7C7A00A8" w:rsidR="00AF19A1" w:rsidRDefault="00AF19A1" w:rsidP="004C75A2">
      <w:pPr>
        <w:ind w:left="720"/>
      </w:pPr>
    </w:p>
    <w:p w14:paraId="6F78164E" w14:textId="77777777" w:rsidR="00AF19A1" w:rsidRDefault="00AF19A1" w:rsidP="004C75A2">
      <w:pPr>
        <w:ind w:left="720"/>
      </w:pPr>
    </w:p>
    <w:p w14:paraId="6E86A6CE" w14:textId="3EBA1B35" w:rsidR="00AF19A1" w:rsidRDefault="00AF19A1" w:rsidP="004C75A2">
      <w:pPr>
        <w:ind w:left="720"/>
      </w:pPr>
    </w:p>
    <w:p w14:paraId="04B2892A" w14:textId="77777777" w:rsidR="00AF19A1" w:rsidRPr="00AF19A1" w:rsidRDefault="00AF19A1" w:rsidP="004C75A2">
      <w:pPr>
        <w:ind w:left="720"/>
      </w:pPr>
    </w:p>
    <w:sectPr w:rsidR="00AF19A1" w:rsidRPr="00AF19A1" w:rsidSect="00BC5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A4C"/>
    <w:multiLevelType w:val="hybridMultilevel"/>
    <w:tmpl w:val="33F2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9707A"/>
    <w:multiLevelType w:val="hybridMultilevel"/>
    <w:tmpl w:val="C748B97C"/>
    <w:lvl w:ilvl="0" w:tplc="D7383468">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A1"/>
    <w:rsid w:val="004C75A2"/>
    <w:rsid w:val="006937C6"/>
    <w:rsid w:val="0070262F"/>
    <w:rsid w:val="00846414"/>
    <w:rsid w:val="00870BBB"/>
    <w:rsid w:val="00AF19A1"/>
    <w:rsid w:val="00B8017D"/>
    <w:rsid w:val="00BC5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BB4D0F"/>
  <w15:chartTrackingRefBased/>
  <w15:docId w15:val="{94D81420-FDDF-D84E-93AD-202C7E7B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A1"/>
    <w:pPr>
      <w:ind w:left="720"/>
      <w:contextualSpacing/>
    </w:pPr>
  </w:style>
  <w:style w:type="character" w:styleId="Hyperlink">
    <w:name w:val="Hyperlink"/>
    <w:basedOn w:val="DefaultParagraphFont"/>
    <w:uiPriority w:val="99"/>
    <w:unhideWhenUsed/>
    <w:rsid w:val="00870BBB"/>
    <w:rPr>
      <w:color w:val="0563C1" w:themeColor="hyperlink"/>
      <w:u w:val="single"/>
    </w:rPr>
  </w:style>
  <w:style w:type="character" w:styleId="UnresolvedMention">
    <w:name w:val="Unresolved Mention"/>
    <w:basedOn w:val="DefaultParagraphFont"/>
    <w:uiPriority w:val="99"/>
    <w:semiHidden/>
    <w:unhideWhenUsed/>
    <w:rsid w:val="00870BBB"/>
    <w:rPr>
      <w:color w:val="605E5C"/>
      <w:shd w:val="clear" w:color="auto" w:fill="E1DFDD"/>
    </w:rPr>
  </w:style>
  <w:style w:type="table" w:styleId="TableGrid">
    <w:name w:val="Table Grid"/>
    <w:basedOn w:val="TableNormal"/>
    <w:uiPriority w:val="59"/>
    <w:rsid w:val="004C75A2"/>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4C75A2"/>
    <w:pPr>
      <w:widowControl w:val="0"/>
      <w:autoSpaceDE w:val="0"/>
      <w:autoSpaceDN w:val="0"/>
      <w:adjustRightInd w:val="0"/>
      <w:spacing w:line="161" w:lineRule="atLeast"/>
    </w:pPr>
    <w:rPr>
      <w:rFonts w:ascii="Times" w:eastAsiaTheme="minorEastAsia" w:hAnsi="Times"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bd/izy245" TargetMode="External"/><Relationship Id="rId3" Type="http://schemas.openxmlformats.org/officeDocument/2006/relationships/settings" Target="settings.xml"/><Relationship Id="rId7" Type="http://schemas.openxmlformats.org/officeDocument/2006/relationships/hyperlink" Target="http://reachingthroughresistance.com/wp-content/uploads/2018/09/ISTDP-Research-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chingthroughresistance.com/wp-content/uploads/2018/10/Cost-Effectiveness-studies-October-2018-1.docx" TargetMode="External"/><Relationship Id="rId5" Type="http://schemas.openxmlformats.org/officeDocument/2006/relationships/hyperlink" Target="https://www.saltscapes.com/living-healthy-section/health-category/403-pessimism-can-shorten-your-lif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allan abbass</cp:lastModifiedBy>
  <cp:revision>2</cp:revision>
  <dcterms:created xsi:type="dcterms:W3CDTF">2018-12-10T20:08:00Z</dcterms:created>
  <dcterms:modified xsi:type="dcterms:W3CDTF">2018-12-10T20:08:00Z</dcterms:modified>
</cp:coreProperties>
</file>